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2"/>
      </w:pPr>
      <w:r>
        <w:rPr>
          <w:rFonts w:hAnsi="Times New Roman" w:cs="Times New Roman"/>
        </w:rPr>
        <w:t xml:space="preserve">06505 Ministarstvo mora, prometa i infrastrukture</w:t>
      </w:r>
    </w:p>
    <w:p>
      <w:pPr>
        <w:jc w:val="both"/>
        <w:pStyle w:val="Normal3"/>
      </w:pPr>
      <w:r>
        <w:rPr>
          <w:rFonts w:hAnsi="Times New Roman" w:cs="Times New Roman"/>
        </w:rPr>
        <w:t xml:space="preserve">Najznačajniji poslovi i zadaci Ministarstva mora, prometa i infrastrukture  su stvaranje uvjeta i izgradnja kapaciteta koji će osigurati izradu kvalitetnih zakona i ostalih propisa te njihovo provođenje vezano uz zaštitu mora, pomorskog dobra i vodnih putova unutarnjih voda, osiguranje prometne povezanosti otoka međusobno i s kopnom, postizanje visoke razvijenosti elektroničkih komunikacija i tržišta poštanskih usluga, organiziranje izrade strateških infrastrukturnih projekata i investicijskih programa od posebnog značaja za Republiku Hrvatsku, organiziranje radova na izgradnji suvremene prometne infrastrukture, koja će prometno povezati sve regije i razviti sve vidove prometa uz visok stupanj profesionalnosti i sigurnosti u pružanju prijevoznih usluga te poduzimanje svih mjera zaštite okoliša u prometu.
</w:t>
      </w:r>
    </w:p>
    <w:p>
      <w:pPr>
        <w:jc w:val="both"/>
        <w:pStyle w:val="Normal3"/>
      </w:pPr>
      <w:r>
        <w:rPr>
          <w:rFonts w:hAnsi="Times New Roman" w:cs="Times New Roman"/>
        </w:rPr>
        <w:t xml:space="preserve">
</w:t>
      </w:r>
    </w:p>
    <w:p>
      <w:pPr>
        <w:jc w:val="both"/>
        <w:pStyle w:val="Normal3"/>
      </w:pPr>
      <w:r>
        <w:rPr>
          <w:rFonts w:hAnsi="Times New Roman" w:cs="Times New Roman"/>
        </w:rPr>
        <w:t xml:space="preserve">Ministarstvo mora, prometa i infrastrukture teži razvoju efikasnog, sigurnog, održivog i ekološki prihvatljivog te modernog prometnog i komunikacijskog sustava.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06505-Ministarstvo mora, prometa i infrastrukture</w:t>
            </w:r>
          </w:p>
        </w:tc>
        <w:tc>
          <w:tcPr>
            <w:tcW w:w="1632.96" w:type="dxa"/>
            <w:vAlign w:val="center"/>
          </w:tcPr>
          <w:p>
            <w:pPr>
              <w:jc w:val="both"/>
              <w:pStyle w:val="CellColumn"/>
            </w:pPr>
            <w:r>
              <w:rPr>
                <w:rFonts w:hAnsi="Times New Roman" w:cs="Times New Roman"/>
              </w:rPr>
              <w:t xml:space="preserve">1.225.118.349</w:t>
            </w:r>
          </w:p>
        </w:tc>
        <w:tc>
          <w:tcPr>
            <w:tcW w:w="1632.96" w:type="dxa"/>
            <w:vAlign w:val="center"/>
          </w:tcPr>
          <w:p>
            <w:pPr>
              <w:jc w:val="both"/>
              <w:pStyle w:val="CellColumn"/>
            </w:pPr>
            <w:r>
              <w:rPr>
                <w:rFonts w:hAnsi="Times New Roman" w:cs="Times New Roman"/>
              </w:rPr>
              <w:t xml:space="preserve">1.523.499.049</w:t>
            </w:r>
          </w:p>
        </w:tc>
        <w:tc>
          <w:tcPr>
            <w:tcW w:w="1632.96" w:type="dxa"/>
            <w:vAlign w:val="center"/>
          </w:tcPr>
          <w:p>
            <w:pPr>
              <w:jc w:val="both"/>
              <w:pStyle w:val="CellColumn"/>
            </w:pPr>
            <w:r>
              <w:rPr>
                <w:rFonts w:hAnsi="Times New Roman" w:cs="Times New Roman"/>
              </w:rPr>
              <w:t xml:space="preserve">1.744.158.563</w:t>
            </w:r>
          </w:p>
        </w:tc>
        <w:tc>
          <w:tcPr>
            <w:tcW w:w="1632.96" w:type="dxa"/>
            <w:vAlign w:val="center"/>
          </w:tcPr>
          <w:p>
            <w:pPr>
              <w:jc w:val="both"/>
              <w:pStyle w:val="CellColumn"/>
            </w:pPr>
            <w:r>
              <w:rPr>
                <w:rFonts w:hAnsi="Times New Roman" w:cs="Times New Roman"/>
              </w:rPr>
              <w:t xml:space="preserve">1.793.652.789</w:t>
            </w:r>
          </w:p>
        </w:tc>
        <w:tc>
          <w:tcPr>
            <w:tcW w:w="1632.96" w:type="dxa"/>
            <w:vAlign w:val="center"/>
          </w:tcPr>
          <w:p>
            <w:pPr>
              <w:jc w:val="both"/>
              <w:pStyle w:val="CellColumn"/>
            </w:pPr>
            <w:r>
              <w:rPr>
                <w:rFonts w:hAnsi="Times New Roman" w:cs="Times New Roman"/>
              </w:rPr>
              <w:t xml:space="preserve">1.387.355.981</w:t>
            </w:r>
          </w:p>
        </w:tc>
        <w:tc>
          <w:tcPr>
            <w:tcW w:w="510.3" w:type="dxa"/>
            <w:vAlign w:val="center"/>
          </w:tcPr>
          <w:p>
            <w:pPr>
              <w:jc w:val="both"/>
              <w:pStyle w:val="CellColumn"/>
            </w:pPr>
            <w:r>
              <w:rPr>
                <w:rFonts w:hAnsi="Times New Roman" w:cs="Times New Roman"/>
              </w:rPr>
              <w:t xml:space="preserve">114,5</w:t>
            </w:r>
          </w:p>
        </w:tc>
      </w:tr>
    </w:tbl>
    <w:p>
      <w:pPr>
        <w:jc w:val="left"/>
      </w:pPr>
      <w:r>
        <w:rPr>
          <w:rFonts w:hAnsi="Times New Roman" w:cs="Times New Roman"/>
        </w:rPr>
        <w:t xml:space="preserve"/>
      </w:r>
    </w:p>
    <w:p>
      <w:pPr>
        <w:jc w:val="left"/>
        <w:pStyle w:val="Heading3"/>
      </w:pPr>
      <w:r>
        <w:rPr>
          <w:rFonts w:hAnsi="Times New Roman" w:cs="Times New Roman"/>
        </w:rPr>
        <w:t xml:space="preserve">3101 UPRAVLJANJE NA PODRUČJU PROMETNE POLITIKE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3101-UPRAVLJANJE NA PODRUČJU PROMETNE POLITIKE</w:t>
            </w:r>
          </w:p>
        </w:tc>
        <w:tc>
          <w:tcPr>
            <w:tcW w:w="1632.96" w:type="dxa"/>
            <w:vAlign w:val="center"/>
          </w:tcPr>
          <w:p>
            <w:pPr>
              <w:jc w:val="both"/>
              <w:pStyle w:val="CellColumn"/>
            </w:pPr>
            <w:r>
              <w:rPr>
                <w:rFonts w:hAnsi="Times New Roman" w:cs="Times New Roman"/>
              </w:rPr>
              <w:t xml:space="preserve">18.225.808</w:t>
            </w:r>
          </w:p>
        </w:tc>
        <w:tc>
          <w:tcPr>
            <w:tcW w:w="1632.96" w:type="dxa"/>
            <w:vAlign w:val="center"/>
          </w:tcPr>
          <w:p>
            <w:pPr>
              <w:jc w:val="both"/>
              <w:pStyle w:val="CellColumn"/>
            </w:pPr>
            <w:r>
              <w:rPr>
                <w:rFonts w:hAnsi="Times New Roman" w:cs="Times New Roman"/>
              </w:rPr>
              <w:t xml:space="preserve">22.365.537</w:t>
            </w:r>
          </w:p>
        </w:tc>
        <w:tc>
          <w:tcPr>
            <w:tcW w:w="1632.96" w:type="dxa"/>
            <w:vAlign w:val="center"/>
          </w:tcPr>
          <w:p>
            <w:pPr>
              <w:jc w:val="both"/>
              <w:pStyle w:val="CellColumn"/>
            </w:pPr>
            <w:r>
              <w:rPr>
                <w:rFonts w:hAnsi="Times New Roman" w:cs="Times New Roman"/>
              </w:rPr>
              <w:t xml:space="preserve">25.164.450</w:t>
            </w:r>
          </w:p>
        </w:tc>
        <w:tc>
          <w:tcPr>
            <w:tcW w:w="1632.96" w:type="dxa"/>
            <w:vAlign w:val="center"/>
          </w:tcPr>
          <w:p>
            <w:pPr>
              <w:jc w:val="both"/>
              <w:pStyle w:val="CellColumn"/>
            </w:pPr>
            <w:r>
              <w:rPr>
                <w:rFonts w:hAnsi="Times New Roman" w:cs="Times New Roman"/>
              </w:rPr>
              <w:t xml:space="preserve">26.265.250</w:t>
            </w:r>
          </w:p>
        </w:tc>
        <w:tc>
          <w:tcPr>
            <w:tcW w:w="1632.96" w:type="dxa"/>
            <w:vAlign w:val="center"/>
          </w:tcPr>
          <w:p>
            <w:pPr>
              <w:jc w:val="both"/>
              <w:pStyle w:val="CellColumn"/>
            </w:pPr>
            <w:r>
              <w:rPr>
                <w:rFonts w:hAnsi="Times New Roman" w:cs="Times New Roman"/>
              </w:rPr>
              <w:t xml:space="preserve">26.466.750</w:t>
            </w:r>
          </w:p>
        </w:tc>
        <w:tc>
          <w:tcPr>
            <w:tcW w:w="510.3" w:type="dxa"/>
            <w:vAlign w:val="center"/>
          </w:tcPr>
          <w:p>
            <w:pPr>
              <w:jc w:val="both"/>
              <w:pStyle w:val="CellColumn"/>
            </w:pPr>
            <w:r>
              <w:rPr>
                <w:rFonts w:hAnsi="Times New Roman" w:cs="Times New Roman"/>
              </w:rPr>
              <w:t xml:space="preserve">112,5</w:t>
            </w:r>
          </w:p>
        </w:tc>
      </w:tr>
    </w:tbl>
    <w:p>
      <w:pPr>
        <w:jc w:val="left"/>
      </w:pPr>
      <w:r>
        <w:rPr>
          <w:rFonts w:hAnsi="Times New Roman" w:cs="Times New Roman"/>
        </w:rPr>
        <w:t xml:space="preserve"/>
      </w:r>
    </w:p>
    <w:p>
      <w:pPr>
        <w:jc w:val="left"/>
        <w:pStyle w:val="Heading7"/>
      </w:pPr>
      <w:r>
        <w:rPr>
          <w:rFonts w:hAnsi="Times New Roman" w:cs="Times New Roman"/>
        </w:rPr>
        <w:t xml:space="preserve">Cilj 1. Povećanje kvalitete obavljanja poslova redovite djelatnosti i uvjeta rada Ministarstva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provedenih mjera
</w:t>
            </w:r>
          </w:p>
          <w:p>
            <w:pPr>
              <w:jc w:val="both"/>
              <w:pStyle w:val="CellColumn"/>
            </w:pPr>
            <w:r>
              <w:rPr>
                <w:rFonts w:hAnsi="Times New Roman" w:cs="Times New Roman"/>
              </w:rPr>
              <w:t xml:space="preserve">i aktivnosti vezanih uz
</w:t>
            </w:r>
          </w:p>
          <w:p>
            <w:pPr>
              <w:jc w:val="both"/>
              <w:pStyle w:val="CellColumn"/>
            </w:pPr>
            <w:r>
              <w:rPr>
                <w:rFonts w:hAnsi="Times New Roman" w:cs="Times New Roman"/>
              </w:rPr>
              <w:t xml:space="preserve">djelotvorno upravljanje
</w:t>
            </w:r>
          </w:p>
          <w:p>
            <w:pPr>
              <w:jc w:val="both"/>
              <w:pStyle w:val="CellColumn"/>
            </w:pPr>
            <w:r>
              <w:rPr>
                <w:rFonts w:hAnsi="Times New Roman" w:cs="Times New Roman"/>
              </w:rPr>
              <w:t xml:space="preserve">ljudskim potencijalima,
</w:t>
            </w:r>
          </w:p>
          <w:p>
            <w:pPr>
              <w:jc w:val="both"/>
              <w:pStyle w:val="CellColumn"/>
            </w:pPr>
            <w:r>
              <w:rPr>
                <w:rFonts w:hAnsi="Times New Roman" w:cs="Times New Roman"/>
              </w:rPr>
              <w:t xml:space="preserve">resursima i poslovnim
</w:t>
            </w:r>
          </w:p>
          <w:p>
            <w:pPr>
              <w:jc w:val="both"/>
              <w:pStyle w:val="CellColumn"/>
            </w:pPr>
            <w:r>
              <w:rPr>
                <w:rFonts w:hAnsi="Times New Roman" w:cs="Times New Roman"/>
              </w:rPr>
              <w:t xml:space="preserve">procesima</w:t>
            </w:r>
          </w:p>
        </w:tc>
        <w:tc>
          <w:tcPr>
            <w:tcW w:w="2245.32" w:type="dxa"/>
            <w:vAlign w:val="center"/>
          </w:tcPr>
          <w:p>
            <w:pPr>
              <w:jc w:val="both"/>
              <w:pStyle w:val="CellColumn"/>
            </w:pPr>
            <w:r>
              <w:rPr>
                <w:rFonts w:hAnsi="Times New Roman" w:cs="Times New Roman"/>
              </w:rPr>
              <w:t xml:space="preserve">Razvojem i djelotvornim
</w:t>
            </w:r>
          </w:p>
          <w:p>
            <w:pPr>
              <w:jc w:val="both"/>
              <w:pStyle w:val="CellColumn"/>
            </w:pPr>
            <w:r>
              <w:rPr>
                <w:rFonts w:hAnsi="Times New Roman" w:cs="Times New Roman"/>
              </w:rPr>
              <w:t xml:space="preserve">upravljanjem ljudskim
</w:t>
            </w:r>
          </w:p>
          <w:p>
            <w:pPr>
              <w:jc w:val="both"/>
              <w:pStyle w:val="CellColumn"/>
            </w:pPr>
            <w:r>
              <w:rPr>
                <w:rFonts w:hAnsi="Times New Roman" w:cs="Times New Roman"/>
              </w:rPr>
              <w:t xml:space="preserve">potencijalima, kao i
</w:t>
            </w:r>
          </w:p>
          <w:p>
            <w:pPr>
              <w:jc w:val="both"/>
              <w:pStyle w:val="CellColumn"/>
            </w:pPr>
            <w:r>
              <w:rPr>
                <w:rFonts w:hAnsi="Times New Roman" w:cs="Times New Roman"/>
              </w:rPr>
              <w:t xml:space="preserve">djelotvornim i
</w:t>
            </w:r>
          </w:p>
          <w:p>
            <w:pPr>
              <w:jc w:val="both"/>
              <w:pStyle w:val="CellColumn"/>
            </w:pPr>
            <w:r>
              <w:rPr>
                <w:rFonts w:hAnsi="Times New Roman" w:cs="Times New Roman"/>
              </w:rPr>
              <w:t xml:space="preserve">učinkovitim upravljanjem
</w:t>
            </w:r>
          </w:p>
          <w:p>
            <w:pPr>
              <w:jc w:val="both"/>
              <w:pStyle w:val="CellColumn"/>
            </w:pPr>
            <w:r>
              <w:rPr>
                <w:rFonts w:hAnsi="Times New Roman" w:cs="Times New Roman"/>
              </w:rPr>
              <w:t xml:space="preserve">resursima i poslovnim
</w:t>
            </w:r>
          </w:p>
          <w:p>
            <w:pPr>
              <w:jc w:val="both"/>
              <w:pStyle w:val="CellColumn"/>
            </w:pPr>
            <w:r>
              <w:rPr>
                <w:rFonts w:hAnsi="Times New Roman" w:cs="Times New Roman"/>
              </w:rPr>
              <w:t xml:space="preserve">procesima povećava se
</w:t>
            </w:r>
          </w:p>
          <w:p>
            <w:pPr>
              <w:jc w:val="both"/>
              <w:pStyle w:val="CellColumn"/>
            </w:pPr>
            <w:r>
              <w:rPr>
                <w:rFonts w:hAnsi="Times New Roman" w:cs="Times New Roman"/>
              </w:rPr>
              <w:t xml:space="preserve">kvaliteta usluge u vidu
</w:t>
            </w:r>
          </w:p>
          <w:p>
            <w:pPr>
              <w:jc w:val="both"/>
              <w:pStyle w:val="CellColumn"/>
            </w:pPr>
            <w:r>
              <w:rPr>
                <w:rFonts w:hAnsi="Times New Roman" w:cs="Times New Roman"/>
              </w:rPr>
              <w:t xml:space="preserve">povećanja ažurnosti i
</w:t>
            </w:r>
          </w:p>
          <w:p>
            <w:pPr>
              <w:jc w:val="both"/>
              <w:pStyle w:val="CellColumn"/>
            </w:pPr>
            <w:r>
              <w:rPr>
                <w:rFonts w:hAnsi="Times New Roman" w:cs="Times New Roman"/>
              </w:rPr>
              <w:t xml:space="preserve">učinkovitosti te smanjenje
</w:t>
            </w:r>
          </w:p>
          <w:p>
            <w:pPr>
              <w:jc w:val="both"/>
              <w:pStyle w:val="CellColumn"/>
            </w:pPr>
            <w:r>
              <w:rPr>
                <w:rFonts w:hAnsi="Times New Roman" w:cs="Times New Roman"/>
              </w:rPr>
              <w:t xml:space="preserve">troškova poslovanja.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Ministarst
</w:t>
            </w:r>
          </w:p>
          <w:p>
            <w:pPr>
              <w:jc w:val="both"/>
              <w:pStyle w:val="CellColumn"/>
            </w:pPr>
            <w:r>
              <w:rPr>
                <w:rFonts w:hAnsi="Times New Roman" w:cs="Times New Roman"/>
              </w:rPr>
              <w:t xml:space="preserve">vo mora,
</w:t>
            </w:r>
          </w:p>
          <w:p>
            <w:pPr>
              <w:jc w:val="both"/>
              <w:pStyle w:val="CellColumn"/>
            </w:pPr>
            <w:r>
              <w:rPr>
                <w:rFonts w:hAnsi="Times New Roman" w:cs="Times New Roman"/>
              </w:rPr>
              <w:t xml:space="preserve">prometa i
</w:t>
            </w:r>
          </w:p>
          <w:p>
            <w:pPr>
              <w:jc w:val="both"/>
              <w:pStyle w:val="CellColumn"/>
            </w:pPr>
            <w:r>
              <w:rPr>
                <w:rFonts w:hAnsi="Times New Roman" w:cs="Times New Roman"/>
              </w:rPr>
              <w:t xml:space="preserve">infrastrukture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A250997 OBVEZE PO SUDSKIM SPOROVIMA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državne uprave, članak 9. i članak 53.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A250997-OBVEZE PO SUDSKIM SPOROVIMA</w:t>
            </w:r>
          </w:p>
        </w:tc>
        <w:tc>
          <w:tcPr>
            <w:tcW w:w="1632.96" w:type="dxa"/>
            <w:vAlign w:val="center"/>
          </w:tcPr>
          <w:p>
            <w:pPr>
              <w:jc w:val="both"/>
              <w:pStyle w:val="CellColumn"/>
            </w:pPr>
            <w:r>
              <w:rPr>
                <w:rFonts w:hAnsi="Times New Roman" w:cs="Times New Roman"/>
              </w:rPr>
              <w:t xml:space="preserve">303.412</w:t>
            </w:r>
          </w:p>
        </w:tc>
        <w:tc>
          <w:tcPr>
            <w:tcW w:w="1632.96" w:type="dxa"/>
            <w:vAlign w:val="center"/>
          </w:tcPr>
          <w:p>
            <w:pPr>
              <w:jc w:val="both"/>
              <w:pStyle w:val="CellColumn"/>
            </w:pPr>
            <w:r>
              <w:rPr>
                <w:rFonts w:hAnsi="Times New Roman" w:cs="Times New Roman"/>
              </w:rPr>
              <w:t xml:space="preserve">435.500</w:t>
            </w:r>
          </w:p>
        </w:tc>
        <w:tc>
          <w:tcPr>
            <w:tcW w:w="1632.96" w:type="dxa"/>
            <w:vAlign w:val="center"/>
          </w:tcPr>
          <w:p>
            <w:pPr>
              <w:jc w:val="both"/>
              <w:pStyle w:val="CellColumn"/>
            </w:pPr>
            <w:r>
              <w:rPr>
                <w:rFonts w:hAnsi="Times New Roman" w:cs="Times New Roman"/>
              </w:rPr>
              <w:t xml:space="preserve">213.000</w:t>
            </w:r>
          </w:p>
        </w:tc>
        <w:tc>
          <w:tcPr>
            <w:tcW w:w="1632.96" w:type="dxa"/>
            <w:vAlign w:val="center"/>
          </w:tcPr>
          <w:p>
            <w:pPr>
              <w:jc w:val="both"/>
              <w:pStyle w:val="CellColumn"/>
            </w:pPr>
            <w:r>
              <w:rPr>
                <w:rFonts w:hAnsi="Times New Roman" w:cs="Times New Roman"/>
              </w:rPr>
              <w:t xml:space="preserve">438.000</w:t>
            </w:r>
          </w:p>
        </w:tc>
        <w:tc>
          <w:tcPr>
            <w:tcW w:w="1632.96" w:type="dxa"/>
            <w:vAlign w:val="center"/>
          </w:tcPr>
          <w:p>
            <w:pPr>
              <w:jc w:val="both"/>
              <w:pStyle w:val="CellColumn"/>
            </w:pPr>
            <w:r>
              <w:rPr>
                <w:rFonts w:hAnsi="Times New Roman" w:cs="Times New Roman"/>
              </w:rPr>
              <w:t xml:space="preserve">438.000</w:t>
            </w:r>
          </w:p>
        </w:tc>
        <w:tc>
          <w:tcPr>
            <w:tcW w:w="510.3" w:type="dxa"/>
            <w:vAlign w:val="center"/>
          </w:tcPr>
          <w:p>
            <w:pPr>
              <w:jc w:val="both"/>
              <w:pStyle w:val="CellColumn"/>
            </w:pPr>
            <w:r>
              <w:rPr>
                <w:rFonts w:hAnsi="Times New Roman" w:cs="Times New Roman"/>
              </w:rPr>
              <w:t xml:space="preserve">48,9</w:t>
            </w:r>
          </w:p>
        </w:tc>
      </w:tr>
    </w:tbl>
    <w:p>
      <w:pPr>
        <w:jc w:val="left"/>
      </w:pPr>
      <w:r>
        <w:rPr>
          <w:rFonts w:hAnsi="Times New Roman" w:cs="Times New Roman"/>
        </w:rPr>
        <w:t xml:space="preserve"/>
      </w:r>
    </w:p>
    <w:p>
      <w:pPr>
        <w:jc w:val="both"/>
        <w:pStyle w:val="Normal"/>
      </w:pPr>
      <w:r>
        <w:rPr>
          <w:rFonts w:hAnsi="Times New Roman" w:cs="Times New Roman"/>
        </w:rPr>
        <w:t xml:space="preserve">Ovom aktivnosti osiguravaju se sredstva potrebna za plaćanje obveza po sudskim sporovima s pripadajućim sudskim troškovima.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pokrivenih troškova sudskih sporova</w:t>
            </w:r>
          </w:p>
        </w:tc>
        <w:tc>
          <w:tcPr>
            <w:tcW w:w="2245.32" w:type="dxa"/>
            <w:vAlign w:val="center"/>
          </w:tcPr>
          <w:p>
            <w:pPr>
              <w:jc w:val="both"/>
              <w:pStyle w:val="CellColumn"/>
            </w:pPr>
            <w:r>
              <w:rPr>
                <w:rFonts w:hAnsi="Times New Roman" w:cs="Times New Roman"/>
              </w:rPr>
              <w:t xml:space="preserve">Pokrivanje svih troškova proizašlih iz sudskih sporova.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A570000 ADMINISTRACIJA I UPRAVLJANJE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državne uprave 
</w:t>
      </w:r>
    </w:p>
    <w:p>
      <w:pPr>
        <w:jc w:val="both"/>
        <w:pStyle w:val="Normal5"/>
      </w:pPr>
      <w:r>
        <w:rPr>
          <w:rFonts w:hAnsi="Times New Roman" w:cs="Times New Roman"/>
        </w:rPr>
        <w:t xml:space="preserve">- Uredba o načelima za unutarnje ustrojstvo tijela državne uprave 
</w:t>
      </w:r>
    </w:p>
    <w:p>
      <w:pPr>
        <w:jc w:val="both"/>
        <w:pStyle w:val="Normal5"/>
      </w:pPr>
      <w:r>
        <w:rPr>
          <w:rFonts w:hAnsi="Times New Roman" w:cs="Times New Roman"/>
        </w:rPr>
        <w:t xml:space="preserve">- Uredba o unutarnjem ustrojstvu Ministarstva mora, prometa i infrastrukture 
</w:t>
      </w:r>
    </w:p>
    <w:p>
      <w:pPr>
        <w:jc w:val="both"/>
        <w:pStyle w:val="Normal5"/>
      </w:pPr>
      <w:r>
        <w:rPr>
          <w:rFonts w:hAnsi="Times New Roman" w:cs="Times New Roman"/>
        </w:rPr>
        <w:t xml:space="preserve">- Kolektivni ugovor za državne službenike i namještenike 
</w:t>
      </w:r>
    </w:p>
    <w:p>
      <w:pPr>
        <w:jc w:val="both"/>
        <w:pStyle w:val="Normal5"/>
      </w:pPr>
      <w:r>
        <w:rPr>
          <w:rFonts w:hAnsi="Times New Roman" w:cs="Times New Roman"/>
        </w:rPr>
        <w:t xml:space="preserve">- Zakon o javnoj nabavi 
</w:t>
      </w:r>
    </w:p>
    <w:p>
      <w:pPr>
        <w:jc w:val="both"/>
        <w:pStyle w:val="Normal5"/>
      </w:pPr>
      <w:r>
        <w:rPr>
          <w:rFonts w:hAnsi="Times New Roman" w:cs="Times New Roman"/>
        </w:rPr>
        <w:t xml:space="preserve">- Zakon o upravljanju državnom imovinom 
</w:t>
      </w:r>
    </w:p>
    <w:p>
      <w:pPr>
        <w:jc w:val="both"/>
        <w:pStyle w:val="Normal5"/>
      </w:pPr>
      <w:r>
        <w:rPr>
          <w:rFonts w:hAnsi="Times New Roman" w:cs="Times New Roman"/>
        </w:rPr>
        <w:t xml:space="preserve">- Zakon o informacijskoj sigurnosti
</w:t>
      </w:r>
    </w:p>
    <w:p>
      <w:pPr>
        <w:jc w:val="both"/>
        <w:pStyle w:val="Normal5"/>
      </w:pPr>
      <w:r>
        <w:rPr>
          <w:rFonts w:hAnsi="Times New Roman" w:cs="Times New Roman"/>
        </w:rPr>
        <w:t xml:space="preserve">- Zakon o proračunu 
</w:t>
      </w:r>
    </w:p>
    <w:p>
      <w:pPr>
        <w:jc w:val="both"/>
        <w:pStyle w:val="Normal5"/>
      </w:pPr>
      <w:r>
        <w:rPr>
          <w:rFonts w:hAnsi="Times New Roman" w:cs="Times New Roman"/>
        </w:rPr>
        <w:t xml:space="preserve">- Zakon o fiskalnoj odgovornosti 
</w:t>
      </w:r>
    </w:p>
    <w:p>
      <w:pPr>
        <w:jc w:val="both"/>
        <w:pStyle w:val="Normal5"/>
      </w:pPr>
      <w:r>
        <w:rPr>
          <w:rFonts w:hAnsi="Times New Roman" w:cs="Times New Roman"/>
        </w:rPr>
        <w:t xml:space="preserve">- i svi ostali relevantni propisi.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A570000-ADMINISTRACIJA I UPRAVLJANJE</w:t>
            </w:r>
          </w:p>
        </w:tc>
        <w:tc>
          <w:tcPr>
            <w:tcW w:w="1632.96" w:type="dxa"/>
            <w:vAlign w:val="center"/>
          </w:tcPr>
          <w:p>
            <w:pPr>
              <w:jc w:val="both"/>
              <w:pStyle w:val="CellColumn"/>
            </w:pPr>
            <w:r>
              <w:rPr>
                <w:rFonts w:hAnsi="Times New Roman" w:cs="Times New Roman"/>
              </w:rPr>
              <w:t xml:space="preserve">14.470.668</w:t>
            </w:r>
          </w:p>
        </w:tc>
        <w:tc>
          <w:tcPr>
            <w:tcW w:w="1632.96" w:type="dxa"/>
            <w:vAlign w:val="center"/>
          </w:tcPr>
          <w:p>
            <w:pPr>
              <w:jc w:val="both"/>
              <w:pStyle w:val="CellColumn"/>
            </w:pPr>
            <w:r>
              <w:rPr>
                <w:rFonts w:hAnsi="Times New Roman" w:cs="Times New Roman"/>
              </w:rPr>
              <w:t xml:space="preserve">16.945.853</w:t>
            </w:r>
          </w:p>
        </w:tc>
        <w:tc>
          <w:tcPr>
            <w:tcW w:w="1632.96" w:type="dxa"/>
            <w:vAlign w:val="center"/>
          </w:tcPr>
          <w:p>
            <w:pPr>
              <w:jc w:val="both"/>
              <w:pStyle w:val="CellColumn"/>
            </w:pPr>
            <w:r>
              <w:rPr>
                <w:rFonts w:hAnsi="Times New Roman" w:cs="Times New Roman"/>
              </w:rPr>
              <w:t xml:space="preserve">19.175.700</w:t>
            </w:r>
          </w:p>
        </w:tc>
        <w:tc>
          <w:tcPr>
            <w:tcW w:w="1632.96" w:type="dxa"/>
            <w:vAlign w:val="center"/>
          </w:tcPr>
          <w:p>
            <w:pPr>
              <w:jc w:val="both"/>
              <w:pStyle w:val="CellColumn"/>
            </w:pPr>
            <w:r>
              <w:rPr>
                <w:rFonts w:hAnsi="Times New Roman" w:cs="Times New Roman"/>
              </w:rPr>
              <w:t xml:space="preserve">19.613.500</w:t>
            </w:r>
          </w:p>
        </w:tc>
        <w:tc>
          <w:tcPr>
            <w:tcW w:w="1632.96" w:type="dxa"/>
            <w:vAlign w:val="center"/>
          </w:tcPr>
          <w:p>
            <w:pPr>
              <w:jc w:val="both"/>
              <w:pStyle w:val="CellColumn"/>
            </w:pPr>
            <w:r>
              <w:rPr>
                <w:rFonts w:hAnsi="Times New Roman" w:cs="Times New Roman"/>
              </w:rPr>
              <w:t xml:space="preserve">19.992.000</w:t>
            </w:r>
          </w:p>
        </w:tc>
        <w:tc>
          <w:tcPr>
            <w:tcW w:w="510.3" w:type="dxa"/>
            <w:vAlign w:val="center"/>
          </w:tcPr>
          <w:p>
            <w:pPr>
              <w:jc w:val="both"/>
              <w:pStyle w:val="CellColumn"/>
            </w:pPr>
            <w:r>
              <w:rPr>
                <w:rFonts w:hAnsi="Times New Roman" w:cs="Times New Roman"/>
              </w:rPr>
              <w:t xml:space="preserve">113,2</w:t>
            </w:r>
          </w:p>
        </w:tc>
      </w:tr>
    </w:tbl>
    <w:p>
      <w:pPr>
        <w:jc w:val="left"/>
      </w:pPr>
      <w:r>
        <w:rPr>
          <w:rFonts w:hAnsi="Times New Roman" w:cs="Times New Roman"/>
        </w:rPr>
        <w:t xml:space="preserve"/>
      </w:r>
    </w:p>
    <w:p>
      <w:pPr>
        <w:jc w:val="both"/>
        <w:pStyle w:val="Normal"/>
      </w:pPr>
      <w:r>
        <w:rPr>
          <w:rFonts w:hAnsi="Times New Roman" w:cs="Times New Roman"/>
        </w:rPr>
        <w:t xml:space="preserve">Ovom aktivnosti osiguravaju se sredstva državnog proračuna nužna za pokriće troškova plaća i ostalih troškova zaposlenika Ministarstva, osim službenika i namještenika Uprave sigurnosti plovidbe i službenika čije se plaće osiguravaju iz sredstava tehničke pomoći. Također, na aktivnosti se planiraju sredstva za pokriće materijalnih rashoda koji nastaju u redovnom poslovanju Ministarstva u sjedištu i na lokacijama na kojima su smješteni inspektori prometne inspekcije i djelatnici Uprave unutarnje plovidbe, kao što su troškovi energije, troškovi zaštite na radu, komunalnih usluga, usluga čišćenja, pošte, prijevoza, uredskog materijala, službenih putovanja, intelektualnih usluga i slično.   
</w:t>
      </w:r>
    </w:p>
    <w:p>
      <w:pPr>
        <w:jc w:val="both"/>
        <w:pStyle w:val="Normal"/>
      </w:pPr>
      <w:r>
        <w:rPr>
          <w:rFonts w:hAnsi="Times New Roman" w:cs="Times New Roman"/>
        </w:rPr>
        <w:t xml:space="preserve">14.850.000 EUR od ukupno planiranih sredstava u 2026. godini, 14.935.000 EUR od ukupno planiranih sredstava u 2027. godini te 15.040.000 EUR od ukupno planiranih sredstava u 2028. godini namijenjeno je za plaće i ostale rashode za zaposlene. Troškovi za zaposlene utvrđeni su uzimajući u obzir troškove 346 trenutno zaposlenih službenika i namještenika i 3 državna dužnosnika te troškove radnih mjesta čije je popunjavanje u tijeku (bez radnih mjesta u Upravi sigurnosti plovidbe i radnih mjesta za koja se plaće osiguravaju iz tehničke pomoći).  
</w:t>
      </w:r>
    </w:p>
    <w:p>
      <w:pPr>
        <w:jc w:val="both"/>
        <w:pStyle w:val="Normal"/>
      </w:pPr>
      <w:r>
        <w:rPr>
          <w:rFonts w:hAnsi="Times New Roman" w:cs="Times New Roman"/>
        </w:rPr>
        <w:t xml:space="preserve">3.927.000 EUR od ukupno planiranih sredstava u 2026. godini, 4.416.000 EUR od ukupno planiranih sredstava u 2027. godini te 4.689.000 EUR od ukupno planiranih sredstava u 2028. godini namijenjeno je za službena putovanja, stručno usavršavanje zaposlenika, materijalne rashode, usluge telefona, pošte i prijevoza, tekućeg i investicijskog održavanja, komunalne usluge, zakupnine i najamnine osim najma vozila, zdravstvene usluge, intelektualne i osobne usluge, računalne usluge i ostale usluge. Prilikom planiranja sredstava za redovito poslovanje uzet je u obzir opći porast cijena uredskog materijala, papirne konfekcije, električne energije, plina i goriva, kao i povećanje vrijednosti iznosa sistematskog pregleda na koje imaju pravo državni službenici i namještenici. Ujedno, uzeti su u obzir povećani troškovi za zaštitarske usluge i usluge čišćenja zbog porasta cijene usluga, koji su između ostalog povezani i s promjenom minimalne plaće u Republici Hrvatskoj. 
</w:t>
      </w:r>
    </w:p>
    <w:p>
      <w:pPr>
        <w:jc w:val="both"/>
        <w:pStyle w:val="Normal"/>
      </w:pPr>
      <w:r>
        <w:rPr>
          <w:rFonts w:hAnsi="Times New Roman" w:cs="Times New Roman"/>
        </w:rPr>
        <w:t xml:space="preserve">314.000 EUR od ukupno planiranih sredstava u 2026. godini, 173.000 EUR od ukupno planiranih sredstava u 2027. godini te 173.500 EUR od ukupno planiranih sredstava u 2028. godini namijenjeno je za nabavu namještaja, komunikacijske i ostale opreme</w:t>
      </w:r>
    </w:p>
    <w:p>
      <w:pPr>
        <w:jc w:val="left"/>
        <w:pStyle w:val="Heading4"/>
      </w:pPr>
      <w:r>
        <w:rPr>
          <w:rFonts w:hAnsi="Times New Roman" w:cs="Times New Roman"/>
        </w:rPr>
        <w:t xml:space="preserve">K570319 OBNOVA VOZNOG PARKA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državne uprave članak 9. i članak 53.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K570319-OBNOVA VOZNOG PARKA</w:t>
            </w:r>
          </w:p>
        </w:tc>
        <w:tc>
          <w:tcPr>
            <w:tcW w:w="1632.96" w:type="dxa"/>
            <w:vAlign w:val="center"/>
          </w:tcPr>
          <w:p>
            <w:pPr>
              <w:jc w:val="both"/>
              <w:pStyle w:val="CellColumn"/>
            </w:pPr>
            <w:r>
              <w:rPr>
                <w:rFonts w:hAnsi="Times New Roman" w:cs="Times New Roman"/>
              </w:rPr>
              <w:t xml:space="preserve">263.646</w:t>
            </w:r>
          </w:p>
        </w:tc>
        <w:tc>
          <w:tcPr>
            <w:tcW w:w="1632.96" w:type="dxa"/>
            <w:vAlign w:val="center"/>
          </w:tcPr>
          <w:p>
            <w:pPr>
              <w:jc w:val="both"/>
              <w:pStyle w:val="CellColumn"/>
            </w:pPr>
            <w:r>
              <w:rPr>
                <w:rFonts w:hAnsi="Times New Roman" w:cs="Times New Roman"/>
              </w:rPr>
              <w:t xml:space="preserve">600.000</w:t>
            </w:r>
          </w:p>
        </w:tc>
        <w:tc>
          <w:tcPr>
            <w:tcW w:w="1632.96" w:type="dxa"/>
            <w:vAlign w:val="center"/>
          </w:tcPr>
          <w:p>
            <w:pPr>
              <w:jc w:val="both"/>
              <w:pStyle w:val="CellColumn"/>
            </w:pPr>
            <w:r>
              <w:rPr>
                <w:rFonts w:hAnsi="Times New Roman" w:cs="Times New Roman"/>
              </w:rPr>
              <w:t xml:space="preserve">765.000</w:t>
            </w:r>
          </w:p>
        </w:tc>
        <w:tc>
          <w:tcPr>
            <w:tcW w:w="1632.96" w:type="dxa"/>
            <w:vAlign w:val="center"/>
          </w:tcPr>
          <w:p>
            <w:pPr>
              <w:jc w:val="both"/>
              <w:pStyle w:val="CellColumn"/>
            </w:pPr>
            <w:r>
              <w:rPr>
                <w:rFonts w:hAnsi="Times New Roman" w:cs="Times New Roman"/>
              </w:rPr>
              <w:t xml:space="preserve">1.005.000</w:t>
            </w:r>
          </w:p>
        </w:tc>
        <w:tc>
          <w:tcPr>
            <w:tcW w:w="1632.96" w:type="dxa"/>
            <w:vAlign w:val="center"/>
          </w:tcPr>
          <w:p>
            <w:pPr>
              <w:jc w:val="both"/>
              <w:pStyle w:val="CellColumn"/>
            </w:pPr>
            <w:r>
              <w:rPr>
                <w:rFonts w:hAnsi="Times New Roman" w:cs="Times New Roman"/>
              </w:rPr>
              <w:t xml:space="preserve">1.005.000</w:t>
            </w:r>
          </w:p>
        </w:tc>
        <w:tc>
          <w:tcPr>
            <w:tcW w:w="510.3" w:type="dxa"/>
            <w:vAlign w:val="center"/>
          </w:tcPr>
          <w:p>
            <w:pPr>
              <w:jc w:val="both"/>
              <w:pStyle w:val="CellColumn"/>
            </w:pPr>
            <w:r>
              <w:rPr>
                <w:rFonts w:hAnsi="Times New Roman" w:cs="Times New Roman"/>
              </w:rPr>
              <w:t xml:space="preserve">127,5</w:t>
            </w:r>
          </w:p>
        </w:tc>
      </w:tr>
    </w:tbl>
    <w:p>
      <w:pPr>
        <w:jc w:val="left"/>
      </w:pPr>
      <w:r>
        <w:rPr>
          <w:rFonts w:hAnsi="Times New Roman" w:cs="Times New Roman"/>
        </w:rPr>
        <w:t xml:space="preserve"/>
      </w:r>
    </w:p>
    <w:p>
      <w:pPr>
        <w:jc w:val="both"/>
        <w:pStyle w:val="Normal"/>
      </w:pPr>
      <w:r>
        <w:rPr>
          <w:rFonts w:hAnsi="Times New Roman" w:cs="Times New Roman"/>
        </w:rPr>
        <w:t xml:space="preserve">Ovom aktivnosti osiguravaju se sredstva za održavanje vozila, podmirenje obveza temeljem ugovora o leasingu, zamjenu vozila te sredstva za pokriće troškova registracije vozila, izmjene guma, pranja i ostalih troškova vezanih uz vozni park. 
</w:t>
      </w:r>
    </w:p>
    <w:p>
      <w:pPr>
        <w:jc w:val="both"/>
        <w:pStyle w:val="Normal"/>
      </w:pPr>
      <w:r>
        <w:rPr>
          <w:rFonts w:hAnsi="Times New Roman" w:cs="Times New Roman"/>
        </w:rPr>
        <w:t xml:space="preserve">465.000 EUR od ukupno planiranih sredstava u 2026. godini, 505.000 EUR od ukupno planiranih sredstava u 2027. godini te 505.000 EUR od ukupno planiranih sredstava u 2028. godini namijenjeno je usluge održavanja vozila, nabavu auto guma, podmirenje leasinga te registracije vozila. Prilikom planiranja sredstava uzeto je u obzir opće stanje na tržištu vezano uz cijene pneumatika, usluga servisiranja vozila te troškova registracije. 
</w:t>
      </w:r>
    </w:p>
    <w:p>
      <w:pPr>
        <w:jc w:val="both"/>
        <w:pStyle w:val="Normal"/>
      </w:pPr>
      <w:r>
        <w:rPr>
          <w:rFonts w:hAnsi="Times New Roman" w:cs="Times New Roman"/>
        </w:rPr>
        <w:t xml:space="preserve">300.000 EUR od ukupno planiranih sredstava u 2026. godini, 500.000 EUR od ukupno planiranih sredstava u 2027. godini te 500.000 EUR od ukupno planiranih sredstava u 2028. godini namijenjeno je za zamjenu vozila. Sukladno Smjernicama za upravljanje voznim parkom propisano je da se automobili trebaju zadržati u voznom parku minimalno osam godina ili do dostignuća prelaska 150.000 km. Stoga se planira nastavak zamjene onih vozila koja po kriteriju starosti i/ili po kriteriju prijeđene kilometraže ispunjavaju uvjete za zamjenu</w:t>
      </w:r>
    </w:p>
    <w:p>
      <w:pPr>
        <w:jc w:val="left"/>
        <w:pStyle w:val="Heading4"/>
      </w:pPr>
      <w:r>
        <w:rPr>
          <w:rFonts w:hAnsi="Times New Roman" w:cs="Times New Roman"/>
        </w:rPr>
        <w:t xml:space="preserve">K570321 INFORMATIZACIJA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državne uprave članak 9. i članak 53.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K570321-INFORMATIZACIJA</w:t>
            </w:r>
          </w:p>
        </w:tc>
        <w:tc>
          <w:tcPr>
            <w:tcW w:w="1632.96" w:type="dxa"/>
            <w:vAlign w:val="center"/>
          </w:tcPr>
          <w:p>
            <w:pPr>
              <w:jc w:val="both"/>
              <w:pStyle w:val="CellColumn"/>
            </w:pPr>
            <w:r>
              <w:rPr>
                <w:rFonts w:hAnsi="Times New Roman" w:cs="Times New Roman"/>
              </w:rPr>
              <w:t xml:space="preserve">2.503.553</w:t>
            </w:r>
          </w:p>
        </w:tc>
        <w:tc>
          <w:tcPr>
            <w:tcW w:w="1632.96" w:type="dxa"/>
            <w:vAlign w:val="center"/>
          </w:tcPr>
          <w:p>
            <w:pPr>
              <w:jc w:val="both"/>
              <w:pStyle w:val="CellColumn"/>
            </w:pPr>
            <w:r>
              <w:rPr>
                <w:rFonts w:hAnsi="Times New Roman" w:cs="Times New Roman"/>
              </w:rPr>
              <w:t xml:space="preserve">2.669.072</w:t>
            </w:r>
          </w:p>
        </w:tc>
        <w:tc>
          <w:tcPr>
            <w:tcW w:w="1632.96" w:type="dxa"/>
            <w:vAlign w:val="center"/>
          </w:tcPr>
          <w:p>
            <w:pPr>
              <w:jc w:val="both"/>
              <w:pStyle w:val="CellColumn"/>
            </w:pPr>
            <w:r>
              <w:rPr>
                <w:rFonts w:hAnsi="Times New Roman" w:cs="Times New Roman"/>
              </w:rPr>
              <w:t xml:space="preserve">3.547.000</w:t>
            </w:r>
          </w:p>
        </w:tc>
        <w:tc>
          <w:tcPr>
            <w:tcW w:w="1632.96" w:type="dxa"/>
            <w:vAlign w:val="center"/>
          </w:tcPr>
          <w:p>
            <w:pPr>
              <w:jc w:val="both"/>
              <w:pStyle w:val="CellColumn"/>
            </w:pPr>
            <w:r>
              <w:rPr>
                <w:rFonts w:hAnsi="Times New Roman" w:cs="Times New Roman"/>
              </w:rPr>
              <w:t xml:space="preserve">3.700.000</w:t>
            </w:r>
          </w:p>
        </w:tc>
        <w:tc>
          <w:tcPr>
            <w:tcW w:w="1632.96" w:type="dxa"/>
            <w:vAlign w:val="center"/>
          </w:tcPr>
          <w:p>
            <w:pPr>
              <w:jc w:val="both"/>
              <w:pStyle w:val="CellColumn"/>
            </w:pPr>
            <w:r>
              <w:rPr>
                <w:rFonts w:hAnsi="Times New Roman" w:cs="Times New Roman"/>
              </w:rPr>
              <w:t xml:space="preserve">3.523.000</w:t>
            </w:r>
          </w:p>
        </w:tc>
        <w:tc>
          <w:tcPr>
            <w:tcW w:w="510.3" w:type="dxa"/>
            <w:vAlign w:val="center"/>
          </w:tcPr>
          <w:p>
            <w:pPr>
              <w:jc w:val="both"/>
              <w:pStyle w:val="CellColumn"/>
            </w:pPr>
            <w:r>
              <w:rPr>
                <w:rFonts w:hAnsi="Times New Roman" w:cs="Times New Roman"/>
              </w:rPr>
              <w:t xml:space="preserve">132,9</w:t>
            </w:r>
          </w:p>
        </w:tc>
      </w:tr>
    </w:tbl>
    <w:p>
      <w:pPr>
        <w:jc w:val="left"/>
      </w:pPr>
      <w:r>
        <w:rPr>
          <w:rFonts w:hAnsi="Times New Roman" w:cs="Times New Roman"/>
        </w:rPr>
        <w:t xml:space="preserve"/>
      </w:r>
    </w:p>
    <w:p>
      <w:pPr>
        <w:jc w:val="both"/>
        <w:pStyle w:val="Normal"/>
      </w:pPr>
      <w:r>
        <w:rPr>
          <w:rFonts w:hAnsi="Times New Roman" w:cs="Times New Roman"/>
        </w:rPr>
        <w:t xml:space="preserve">Ovom aktivnosti osiguravaju se sredstva za održavanje aplikacija, nabavu licenci te nabavu računalne i komunikacijske opreme. 
</w:t>
      </w:r>
    </w:p>
    <w:p>
      <w:pPr>
        <w:jc w:val="both"/>
        <w:pStyle w:val="Normal"/>
      </w:pPr>
      <w:r>
        <w:rPr>
          <w:rFonts w:hAnsi="Times New Roman" w:cs="Times New Roman"/>
        </w:rPr>
        <w:t xml:space="preserve">2.297.000 EUR od ukupno planiranih sredstava u 2026. godini, 2.390.000 EUR od ukupno planiranih sredstava u 2027. godini te 2.453.000 EUR od ukupno planiranih sredstava u 2028. godini namijenjeno je za održavanje i nadogradnju aplikacija, nabavu licenci. Prilikom planiranja sredstava uzet je u obzir porast razine informatizacije poslovnih procesa i prelazak na nove tehnologije, kao i zaštitu postojećih usluga, aplikacija i servisa sukladno Zakonu o kibernetičkoj sigurnosti te porast cijena na tržištu što posljedično povećava troškove održavanja računalnih aplikacija. Ujedno, u obzir je uzet opći porast cijena licenci te činjenicu da je većina licenci vezana uz tečaj američkog dolara, pri čemu se dio licenci obračunava po korisniku (npr. korisničke Microsoft licence ili antivirus) dok se ostatak obračunava paušalno, neovisno o broju korisnika. 
</w:t>
      </w:r>
    </w:p>
    <w:p>
      <w:pPr>
        <w:jc w:val="both"/>
        <w:pStyle w:val="Normal"/>
      </w:pPr>
      <w:r>
        <w:rPr>
          <w:rFonts w:hAnsi="Times New Roman" w:cs="Times New Roman"/>
        </w:rPr>
        <w:t xml:space="preserve">1.070.000 EUR od ukupno planiranih sredstava u 2026. godini, 1.120.000 EUR od ukupno planiranih sredstava u 2027. godini te 850.000 EUR od ukupno planiranih sredstava u 2028. godini namijenjeno je za nabavu računalne i komunikacijske opreme te nadogradnje aplikacija čime se osigurava stabilnost sustava, sigurnost podataka te omogućuje pohranu sve većeg broja digitalnih zapisa</w:t>
      </w:r>
    </w:p>
    <w:p>
      <w:pPr>
        <w:jc w:val="left"/>
        <w:pStyle w:val="Heading4"/>
      </w:pPr>
      <w:r>
        <w:rPr>
          <w:rFonts w:hAnsi="Times New Roman" w:cs="Times New Roman"/>
        </w:rPr>
        <w:t xml:space="preserve">K810016 REKONSTRUKCIJA, OBNOVA I ODRŽAVANJE POSLOVNIH ZGRADA MINISTARSTVA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državne uprave, članak 9. i članak 53.
</w:t>
      </w:r>
    </w:p>
    <w:p>
      <w:pPr>
        <w:jc w:val="both"/>
        <w:pStyle w:val="Normal5"/>
      </w:pPr>
      <w:r>
        <w:rPr>
          <w:rFonts w:hAnsi="Times New Roman" w:cs="Times New Roman"/>
        </w:rPr>
        <w:t xml:space="preserve">- Zakon o upravljanju državnom imovinom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K810016-REKONSTRUKCIJA, OBNOVA I ODRŽAVANJE POSLOVNIH ZGRADA MINISTARSTVA</w:t>
            </w:r>
          </w:p>
        </w:tc>
        <w:tc>
          <w:tcPr>
            <w:tcW w:w="1632.96" w:type="dxa"/>
            <w:vAlign w:val="center"/>
          </w:tcPr>
          <w:p>
            <w:pPr>
              <w:jc w:val="both"/>
              <w:pStyle w:val="CellColumn"/>
            </w:pPr>
            <w:r>
              <w:rPr>
                <w:rFonts w:hAnsi="Times New Roman" w:cs="Times New Roman"/>
              </w:rPr>
              <w:t xml:space="preserve">665.343</w:t>
            </w:r>
          </w:p>
        </w:tc>
        <w:tc>
          <w:tcPr>
            <w:tcW w:w="1632.96" w:type="dxa"/>
            <w:vAlign w:val="center"/>
          </w:tcPr>
          <w:p>
            <w:pPr>
              <w:jc w:val="both"/>
              <w:pStyle w:val="CellColumn"/>
            </w:pPr>
            <w:r>
              <w:rPr>
                <w:rFonts w:hAnsi="Times New Roman" w:cs="Times New Roman"/>
              </w:rPr>
              <w:t xml:space="preserve">796.362</w:t>
            </w:r>
          </w:p>
        </w:tc>
        <w:tc>
          <w:tcPr>
            <w:tcW w:w="1632.96" w:type="dxa"/>
            <w:vAlign w:val="center"/>
          </w:tcPr>
          <w:p>
            <w:pPr>
              <w:jc w:val="both"/>
              <w:pStyle w:val="CellColumn"/>
            </w:pPr>
            <w:r>
              <w:rPr>
                <w:rFonts w:hAnsi="Times New Roman" w:cs="Times New Roman"/>
              </w:rPr>
              <w:t xml:space="preserve">545.000</w:t>
            </w:r>
          </w:p>
        </w:tc>
        <w:tc>
          <w:tcPr>
            <w:tcW w:w="1632.96" w:type="dxa"/>
            <w:vAlign w:val="center"/>
          </w:tcPr>
          <w:p>
            <w:pPr>
              <w:jc w:val="both"/>
              <w:pStyle w:val="CellColumn"/>
            </w:pPr>
            <w:r>
              <w:rPr>
                <w:rFonts w:hAnsi="Times New Roman" w:cs="Times New Roman"/>
              </w:rPr>
              <w:t xml:space="preserve">590.000</w:t>
            </w:r>
          </w:p>
        </w:tc>
        <w:tc>
          <w:tcPr>
            <w:tcW w:w="1632.96" w:type="dxa"/>
            <w:vAlign w:val="center"/>
          </w:tcPr>
          <w:p>
            <w:pPr>
              <w:jc w:val="both"/>
              <w:pStyle w:val="CellColumn"/>
            </w:pPr>
            <w:r>
              <w:rPr>
                <w:rFonts w:hAnsi="Times New Roman" w:cs="Times New Roman"/>
              </w:rPr>
              <w:t xml:space="preserve">590.000</w:t>
            </w:r>
          </w:p>
        </w:tc>
        <w:tc>
          <w:tcPr>
            <w:tcW w:w="510.3" w:type="dxa"/>
            <w:vAlign w:val="center"/>
          </w:tcPr>
          <w:p>
            <w:pPr>
              <w:jc w:val="both"/>
              <w:pStyle w:val="CellColumn"/>
            </w:pPr>
            <w:r>
              <w:rPr>
                <w:rFonts w:hAnsi="Times New Roman" w:cs="Times New Roman"/>
              </w:rPr>
              <w:t xml:space="preserve">68,4</w:t>
            </w:r>
          </w:p>
        </w:tc>
      </w:tr>
    </w:tbl>
    <w:p>
      <w:pPr>
        <w:jc w:val="left"/>
      </w:pPr>
      <w:r>
        <w:rPr>
          <w:rFonts w:hAnsi="Times New Roman" w:cs="Times New Roman"/>
        </w:rPr>
        <w:t xml:space="preserve"/>
      </w:r>
    </w:p>
    <w:p>
      <w:pPr>
        <w:jc w:val="both"/>
        <w:pStyle w:val="Normal"/>
      </w:pPr>
      <w:r>
        <w:rPr>
          <w:rFonts w:hAnsi="Times New Roman" w:cs="Times New Roman"/>
        </w:rPr>
        <w:t xml:space="preserve">Ovom aktivnosti osiguravaju se sredstva za održavanje poslovnog objekta Kockica, vrijedno djelo hrvatske arhitekture i tretira se kao spomenik kulture, s ciljem očuvanja i povećanja vrijednosti objekta, a u skladu sa Zakonom o upravljanju državnom imovinom i Zakonom o zaštiti na radu te poslovnog prostora na lokaciji Krležin Gvozd i poslovnih prostora inspekcije izvan sjedišta Ministarstva. 
</w:t>
      </w:r>
    </w:p>
    <w:p>
      <w:pPr>
        <w:jc w:val="both"/>
        <w:pStyle w:val="Normal"/>
      </w:pPr>
      <w:r>
        <w:rPr>
          <w:rFonts w:hAnsi="Times New Roman" w:cs="Times New Roman"/>
        </w:rPr>
        <w:t xml:space="preserve">525.000 EUR od ukupno planiranih sredstava u 2026. godini, 590.000 EUR od ukupno planiranih sredstava u 2027. godini te 610.000 EUR od ukupno planiranih sredstava u 2028. godini namijenjeno je za održavanje zgrade Kockica te poslovnog prostora na lokaciji Krležin Gvozd i poslovnih prostora inspekcije izvan sjedišta Ministarstva.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izvršenja ugovora o nabavi i ugradnja opreme za solarnu elektranu na zgradi Kockica</w:t>
            </w:r>
          </w:p>
        </w:tc>
        <w:tc>
          <w:tcPr>
            <w:tcW w:w="2245.32" w:type="dxa"/>
            <w:vAlign w:val="center"/>
          </w:tcPr>
          <w:p>
            <w:pPr>
              <w:jc w:val="both"/>
              <w:pStyle w:val="CellColumn"/>
            </w:pPr>
            <w:r>
              <w:rPr>
                <w:rFonts w:hAnsi="Times New Roman" w:cs="Times New Roman"/>
              </w:rPr>
              <w:t xml:space="preserve">Izvršenje ugovorenih radova ugradnje opreme za solarnu elektranu na zgradi Kockica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80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T754069 PROGRAM DODJELE DRŽAVNIH POTPORA SEKTORU MORA, PROMETA, PROMETNE INFRASTRUKTURE I POVEZANIM DJELATNOSTIMA U AKTUALNOJ PANDEMIJI COVID-a 19</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Sporazum o suradnji u provedbi Programa dodjele državnih potpora između MMPI i HABOR-a
</w:t>
      </w:r>
    </w:p>
    <w:p>
      <w:pPr>
        <w:jc w:val="both"/>
        <w:pStyle w:val="Normal5"/>
      </w:pPr>
      <w:r>
        <w:rPr>
          <w:rFonts w:hAnsi="Times New Roman" w:cs="Times New Roman"/>
        </w:rPr>
        <w:t xml:space="preserve">- Protokol o operativnoj provedbi Sporazuma između MMPI i HBOR
</w:t>
      </w:r>
    </w:p>
    <w:p>
      <w:pPr>
        <w:jc w:val="both"/>
        <w:pStyle w:val="Normal5"/>
      </w:pPr>
      <w:r>
        <w:rPr>
          <w:rFonts w:hAnsi="Times New Roman" w:cs="Times New Roman"/>
        </w:rPr>
        <w:t xml:space="preserve">- Ugovor o regresnoj naplati između MMPI i poslovnih banaka
</w:t>
      </w:r>
    </w:p>
    <w:p>
      <w:pPr>
        <w:jc w:val="both"/>
        <w:pStyle w:val="Normal5"/>
      </w:pPr>
      <w:r>
        <w:rPr>
          <w:rFonts w:hAnsi="Times New Roman" w:cs="Times New Roman"/>
        </w:rPr>
        <w:t xml:space="preserve">- Službeni Registar državnih potpora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T754069-PROGRAM DODJELE DRŽAVNIH POTPORA SEKTORU MORA, PROMETA, PROMETNE INFRASTRUKTURE I POVEZANIM DJELATNOSTIMA U AKTUALNOJ PANDEMIJI COVID-a 19</w:t>
            </w:r>
          </w:p>
        </w:tc>
        <w:tc>
          <w:tcPr>
            <w:tcW w:w="1632.96" w:type="dxa"/>
            <w:vAlign w:val="center"/>
          </w:tcPr>
          <w:p>
            <w:pPr>
              <w:jc w:val="both"/>
              <w:pStyle w:val="CellColumn"/>
            </w:pPr>
            <w:r>
              <w:rPr>
                <w:rFonts w:hAnsi="Times New Roman" w:cs="Times New Roman"/>
              </w:rPr>
              <w:t xml:space="preserve">19.186</w:t>
            </w:r>
          </w:p>
        </w:tc>
        <w:tc>
          <w:tcPr>
            <w:tcW w:w="1632.96" w:type="dxa"/>
            <w:vAlign w:val="center"/>
          </w:tcPr>
          <w:p>
            <w:pPr>
              <w:jc w:val="both"/>
              <w:pStyle w:val="CellColumn"/>
            </w:pPr>
            <w:r>
              <w:rPr>
                <w:rFonts w:hAnsi="Times New Roman" w:cs="Times New Roman"/>
              </w:rPr>
              <w:t xml:space="preserve">918.750</w:t>
            </w:r>
          </w:p>
        </w:tc>
        <w:tc>
          <w:tcPr>
            <w:tcW w:w="1632.96" w:type="dxa"/>
            <w:vAlign w:val="center"/>
          </w:tcPr>
          <w:p>
            <w:pPr>
              <w:jc w:val="both"/>
              <w:pStyle w:val="CellColumn"/>
            </w:pPr>
            <w:r>
              <w:rPr>
                <w:rFonts w:hAnsi="Times New Roman" w:cs="Times New Roman"/>
              </w:rPr>
              <w:t xml:space="preserve">918.750</w:t>
            </w:r>
          </w:p>
        </w:tc>
        <w:tc>
          <w:tcPr>
            <w:tcW w:w="1632.96" w:type="dxa"/>
            <w:vAlign w:val="center"/>
          </w:tcPr>
          <w:p>
            <w:pPr>
              <w:jc w:val="both"/>
              <w:pStyle w:val="CellColumn"/>
            </w:pPr>
            <w:r>
              <w:rPr>
                <w:rFonts w:hAnsi="Times New Roman" w:cs="Times New Roman"/>
              </w:rPr>
              <w:t xml:space="preserve">918.750</w:t>
            </w:r>
          </w:p>
        </w:tc>
        <w:tc>
          <w:tcPr>
            <w:tcW w:w="1632.96" w:type="dxa"/>
            <w:vAlign w:val="center"/>
          </w:tcPr>
          <w:p>
            <w:pPr>
              <w:jc w:val="both"/>
              <w:pStyle w:val="CellColumn"/>
            </w:pPr>
            <w:r>
              <w:rPr>
                <w:rFonts w:hAnsi="Times New Roman" w:cs="Times New Roman"/>
              </w:rPr>
              <w:t xml:space="preserve">918.750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Instrumenti državne potpore uređeni ovim Programom su državna jamstva (jamstvo) za nove zajmove i ugovore o leasingu poduzetnika kod kreditnih i financijskih institucija te Hrvatske banke za obnovu i razvitak, potpore u obliku subvencioniranih kamatnih stopa za zajmove i potpore u obliku dokapitalizacije. U slučaju dodjeljivanja potpora iz ovog Programa korisnicima za potrebe refinanciranja ili restrukturiranje postojećih obaveza kod kreditnih i financijskih institucija, korist od novih plasmana osiguranih držanim jamstvom prenijet će se upravo na krajnje korisnike u obliku smanjenja postojećih kamatnih stopa, produljenja roka otplate kredita ili leasinga (s uključenim počekom) te povrata, odnosno stavljanja izvan snage danih osobnih instrumenata osiguranja od strane fizičkih osoba vlasnika društava, koja su korisnici jamstva.
</w:t>
      </w:r>
    </w:p>
    <w:p>
      <w:pPr>
        <w:jc w:val="both"/>
        <w:pStyle w:val="Normal"/>
      </w:pPr>
      <w:r>
        <w:rPr>
          <w:rFonts w:hAnsi="Times New Roman" w:cs="Times New Roman"/>
        </w:rPr>
        <w:t xml:space="preserve">Povećanje planiranih sredstava za razdoblje 2026.- 2028. temelji se na lošem financijskom rejtingu, kategoriji i ponderu rizika određenih velikih korisnika kredita, odnosno na procjeni mogućnosti i volje dužnika da u cijelosti i pravodobno podmiri sve dospjele obveze. Ukupna izloženost predstavlja teoretsku svotu ukupnih plaćanja u slučaju da se realiziraju preuzeti rizici po svim jamstvima, sukladno vjerojatnosti materijalizirane štete, a u skladu s metodologijom Hrvatske banke za obnovu i razvoj (provedbeno tijelo koje je sklapalo ugovore u jamstvima).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Plaćanja protestiranih jamstava s osnove sklopljenih ugovora o jamstvu na prvi poziv</w:t>
            </w:r>
          </w:p>
        </w:tc>
        <w:tc>
          <w:tcPr>
            <w:tcW w:w="2245.32" w:type="dxa"/>
            <w:vAlign w:val="center"/>
          </w:tcPr>
          <w:p>
            <w:pPr>
              <w:jc w:val="both"/>
              <w:pStyle w:val="CellColumn"/>
            </w:pPr>
            <w:r>
              <w:rPr>
                <w:rFonts w:hAnsi="Times New Roman" w:cs="Times New Roman"/>
              </w:rPr>
              <w:t xml:space="preserve">Procjena očekivane stope gubitka - plaćanja po pozvanim jamstvima (protest) od strane jamca (države) u odnosu na vrijednost izdanih jamstava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 Registar državnih potpora</w:t>
            </w:r>
          </w:p>
        </w:tc>
        <w:tc>
          <w:tcPr>
            <w:tcW w:w="918.54" w:type="dxa"/>
            <w:vAlign w:val="center"/>
          </w:tcPr>
          <w:p>
            <w:pPr>
              <w:jc w:val="both"/>
              <w:pStyle w:val="CellColumn"/>
            </w:pPr>
            <w:r>
              <w:rPr>
                <w:rFonts w:hAnsi="Times New Roman" w:cs="Times New Roman"/>
              </w:rPr>
              <w:t xml:space="preserve">3,8</w:t>
            </w:r>
          </w:p>
        </w:tc>
        <w:tc>
          <w:tcPr>
            <w:tcW w:w="918.54" w:type="dxa"/>
            <w:vAlign w:val="center"/>
          </w:tcPr>
          <w:p>
            <w:pPr>
              <w:jc w:val="both"/>
              <w:pStyle w:val="CellColumn"/>
            </w:pPr>
            <w:r>
              <w:rPr>
                <w:rFonts w:hAnsi="Times New Roman" w:cs="Times New Roman"/>
              </w:rPr>
              <w:t xml:space="preserve">3,8</w:t>
            </w:r>
          </w:p>
        </w:tc>
        <w:tc>
          <w:tcPr>
            <w:tcW w:w="918.54" w:type="dxa"/>
            <w:vAlign w:val="center"/>
          </w:tcPr>
          <w:p>
            <w:pPr>
              <w:jc w:val="both"/>
              <w:pStyle w:val="CellColumn"/>
            </w:pPr>
            <w:r>
              <w:rPr>
                <w:rFonts w:hAnsi="Times New Roman" w:cs="Times New Roman"/>
              </w:rPr>
              <w:t xml:space="preserve">3,8</w:t>
            </w:r>
          </w:p>
        </w:tc>
      </w:tr>
    </w:tbl>
    <w:p>
      <w:pPr>
        <w:jc w:val="left"/>
      </w:pPr>
      <w:r>
        <w:rPr>
          <w:rFonts w:hAnsi="Times New Roman" w:cs="Times New Roman"/>
        </w:rPr>
        <w:t xml:space="preserve"/>
      </w:r>
    </w:p>
    <w:p>
      <w:pPr>
        <w:jc w:val="left"/>
        <w:pStyle w:val="Heading3"/>
      </w:pPr>
      <w:r>
        <w:rPr>
          <w:rFonts w:hAnsi="Times New Roman" w:cs="Times New Roman"/>
        </w:rPr>
        <w:t xml:space="preserve">3107 RAZVOJ TRŽIŠTA POŠTANSKIH USLUGA I ELEKTRONIČKIH KOMUNIKACIJA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3107-RAZVOJ TRŽIŠTA POŠTANSKIH USLUGA I ELEKTRONIČKIH KOMUNIKACIJA</w:t>
            </w:r>
          </w:p>
        </w:tc>
        <w:tc>
          <w:tcPr>
            <w:tcW w:w="1632.96" w:type="dxa"/>
            <w:vAlign w:val="center"/>
          </w:tcPr>
          <w:p>
            <w:pPr>
              <w:jc w:val="both"/>
              <w:pStyle w:val="CellColumn"/>
            </w:pPr>
            <w:r>
              <w:rPr>
                <w:rFonts w:hAnsi="Times New Roman" w:cs="Times New Roman"/>
              </w:rPr>
              <w:t xml:space="preserve">25.290.442</w:t>
            </w:r>
          </w:p>
        </w:tc>
        <w:tc>
          <w:tcPr>
            <w:tcW w:w="1632.96" w:type="dxa"/>
            <w:vAlign w:val="center"/>
          </w:tcPr>
          <w:p>
            <w:pPr>
              <w:jc w:val="both"/>
              <w:pStyle w:val="CellColumn"/>
            </w:pPr>
            <w:r>
              <w:rPr>
                <w:rFonts w:hAnsi="Times New Roman" w:cs="Times New Roman"/>
              </w:rPr>
              <w:t xml:space="preserve">15.222.685</w:t>
            </w:r>
          </w:p>
        </w:tc>
        <w:tc>
          <w:tcPr>
            <w:tcW w:w="1632.96" w:type="dxa"/>
            <w:vAlign w:val="center"/>
          </w:tcPr>
          <w:p>
            <w:pPr>
              <w:jc w:val="both"/>
              <w:pStyle w:val="CellColumn"/>
            </w:pPr>
            <w:r>
              <w:rPr>
                <w:rFonts w:hAnsi="Times New Roman" w:cs="Times New Roman"/>
              </w:rPr>
              <w:t xml:space="preserve">12.797.685</w:t>
            </w:r>
          </w:p>
        </w:tc>
        <w:tc>
          <w:tcPr>
            <w:tcW w:w="1632.96" w:type="dxa"/>
            <w:vAlign w:val="center"/>
          </w:tcPr>
          <w:p>
            <w:pPr>
              <w:jc w:val="both"/>
              <w:pStyle w:val="CellColumn"/>
            </w:pPr>
            <w:r>
              <w:rPr>
                <w:rFonts w:hAnsi="Times New Roman" w:cs="Times New Roman"/>
              </w:rPr>
              <w:t xml:space="preserve">15.247.685</w:t>
            </w:r>
          </w:p>
        </w:tc>
        <w:tc>
          <w:tcPr>
            <w:tcW w:w="1632.96" w:type="dxa"/>
            <w:vAlign w:val="center"/>
          </w:tcPr>
          <w:p>
            <w:pPr>
              <w:jc w:val="both"/>
              <w:pStyle w:val="CellColumn"/>
            </w:pPr>
            <w:r>
              <w:rPr>
                <w:rFonts w:hAnsi="Times New Roman" w:cs="Times New Roman"/>
              </w:rPr>
              <w:t xml:space="preserve">15.247.685</w:t>
            </w:r>
          </w:p>
        </w:tc>
        <w:tc>
          <w:tcPr>
            <w:tcW w:w="510.3" w:type="dxa"/>
            <w:vAlign w:val="center"/>
          </w:tcPr>
          <w:p>
            <w:pPr>
              <w:jc w:val="both"/>
              <w:pStyle w:val="CellColumn"/>
            </w:pPr>
            <w:r>
              <w:rPr>
                <w:rFonts w:hAnsi="Times New Roman" w:cs="Times New Roman"/>
              </w:rPr>
              <w:t xml:space="preserve">84,1</w:t>
            </w:r>
          </w:p>
        </w:tc>
      </w:tr>
    </w:tbl>
    <w:p>
      <w:pPr>
        <w:jc w:val="left"/>
      </w:pPr>
      <w:r>
        <w:rPr>
          <w:rFonts w:hAnsi="Times New Roman" w:cs="Times New Roman"/>
        </w:rPr>
        <w:t xml:space="preserve"/>
      </w:r>
    </w:p>
    <w:p>
      <w:pPr>
        <w:jc w:val="left"/>
        <w:pStyle w:val="Heading7"/>
      </w:pPr>
      <w:r>
        <w:rPr>
          <w:rFonts w:hAnsi="Times New Roman" w:cs="Times New Roman"/>
        </w:rPr>
        <w:t xml:space="preserve">Cilj 1. Visoka i ujednačena razvijenost širokopojasnog pristupa internetu</w:t>
      </w:r>
    </w:p>
    <w:p>
      <w:pPr>
        <w:jc w:val="left"/>
        <w:pStyle w:val="Heading7"/>
      </w:pPr>
      <w:r>
        <w:rPr>
          <w:rFonts w:hAnsi="Times New Roman" w:cs="Times New Roman"/>
        </w:rPr>
        <w:t xml:space="preserve">Cilj 2. Razvijeno tržište poštanskih usluga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Udjel kućanstava u Republici Hrvatskoj kojima je dostupan širokopojasni pristup s brzinom u smjeru korisnika od najmanje 100 Mbit/s, uz mogućnost nadogradnje na brzine do 1 Gbit/s</w:t>
            </w:r>
          </w:p>
        </w:tc>
        <w:tc>
          <w:tcPr>
            <w:tcW w:w="2245.32" w:type="dxa"/>
            <w:vAlign w:val="center"/>
          </w:tcPr>
          <w:p>
            <w:pPr>
              <w:jc w:val="both"/>
              <w:pStyle w:val="CellColumn"/>
            </w:pPr>
            <w:r>
              <w:rPr>
                <w:rFonts w:hAnsi="Times New Roman" w:cs="Times New Roman"/>
              </w:rPr>
              <w:t xml:space="preserve">Povećanje dostupnosti širokopojasne infrastrukture putem uvođenja mreža vrlo velikog kapaciteta u kućanstva na cijelom području Republike Hrvatske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78,9</w:t>
            </w:r>
          </w:p>
        </w:tc>
        <w:tc>
          <w:tcPr>
            <w:tcW w:w="918.54" w:type="dxa"/>
            <w:vAlign w:val="center"/>
          </w:tcPr>
          <w:p>
            <w:pPr>
              <w:jc w:val="both"/>
              <w:pStyle w:val="CellColumn"/>
            </w:pPr>
            <w:r>
              <w:rPr>
                <w:rFonts w:hAnsi="Times New Roman" w:cs="Times New Roman"/>
              </w:rPr>
              <w:t xml:space="preserve">Europska komisija – Izvješće o stanju digitalnog desetljeća</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r>
        <w:trPr>
          <w:cantSplit/>
        </w:trPr>
        <w:tc>
          <w:tcPr>
            <w:tcW w:w="2245.32" w:type="dxa"/>
            <w:vAlign w:val="center"/>
          </w:tcPr>
          <w:p>
            <w:pPr>
              <w:jc w:val="both"/>
              <w:pStyle w:val="CellColumn"/>
            </w:pPr>
            <w:r>
              <w:rPr>
                <w:rFonts w:hAnsi="Times New Roman" w:cs="Times New Roman"/>
              </w:rPr>
              <w:t xml:space="preserve">Broj redovitih poštanskih ureda u mreži poštanskih ureda davatelja univerzalne usluge</w:t>
            </w:r>
          </w:p>
        </w:tc>
        <w:tc>
          <w:tcPr>
            <w:tcW w:w="2245.32" w:type="dxa"/>
            <w:vAlign w:val="center"/>
          </w:tcPr>
          <w:p>
            <w:pPr>
              <w:jc w:val="both"/>
              <w:pStyle w:val="CellColumn"/>
            </w:pPr>
            <w:r>
              <w:rPr>
                <w:rFonts w:hAnsi="Times New Roman" w:cs="Times New Roman"/>
              </w:rPr>
              <w:t xml:space="preserve">Davatelj univerzalne usluge obvezan je ustrojiti mrežu poštanskih ureda tako da mrežu poštanskih ureda mora činiti najmanje 700 redovitih poštanskih ureda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 700</w:t>
            </w:r>
          </w:p>
        </w:tc>
        <w:tc>
          <w:tcPr>
            <w:tcW w:w="918.54" w:type="dxa"/>
            <w:vAlign w:val="center"/>
          </w:tcPr>
          <w:p>
            <w:pPr>
              <w:jc w:val="both"/>
              <w:pStyle w:val="CellColumn"/>
            </w:pPr>
            <w:r>
              <w:rPr>
                <w:rFonts w:hAnsi="Times New Roman" w:cs="Times New Roman"/>
              </w:rPr>
              <w:t xml:space="preserve">Hrvatska regulatorna agencija za mrežne djelatnosti</w:t>
            </w:r>
          </w:p>
        </w:tc>
        <w:tc>
          <w:tcPr>
            <w:tcW w:w="918.54" w:type="dxa"/>
            <w:vAlign w:val="center"/>
          </w:tcPr>
          <w:p>
            <w:pPr>
              <w:jc w:val="both"/>
              <w:pStyle w:val="CellColumn"/>
            </w:pPr>
            <w:r>
              <w:rPr>
                <w:rFonts w:hAnsi="Times New Roman" w:cs="Times New Roman"/>
              </w:rPr>
              <w:t xml:space="preserve">≥ 700</w:t>
            </w:r>
          </w:p>
        </w:tc>
        <w:tc>
          <w:tcPr>
            <w:tcW w:w="918.54" w:type="dxa"/>
            <w:vAlign w:val="center"/>
          </w:tcPr>
          <w:p>
            <w:pPr>
              <w:jc w:val="both"/>
              <w:pStyle w:val="CellColumn"/>
            </w:pPr>
            <w:r>
              <w:rPr>
                <w:rFonts w:hAnsi="Times New Roman" w:cs="Times New Roman"/>
              </w:rPr>
              <w:t xml:space="preserve">≥ 700</w:t>
            </w:r>
          </w:p>
        </w:tc>
        <w:tc>
          <w:tcPr>
            <w:tcW w:w="918.54" w:type="dxa"/>
            <w:vAlign w:val="center"/>
          </w:tcPr>
          <w:p>
            <w:pPr>
              <w:jc w:val="both"/>
              <w:pStyle w:val="CellColumn"/>
            </w:pPr>
            <w:r>
              <w:rPr>
                <w:rFonts w:hAnsi="Times New Roman" w:cs="Times New Roman"/>
              </w:rPr>
              <w:t xml:space="preserve">≥ 700</w:t>
            </w:r>
          </w:p>
        </w:tc>
      </w:tr>
    </w:tbl>
    <w:p>
      <w:pPr>
        <w:jc w:val="left"/>
      </w:pPr>
      <w:r>
        <w:rPr>
          <w:rFonts w:hAnsi="Times New Roman" w:cs="Times New Roman"/>
        </w:rPr>
        <w:t xml:space="preserve"/>
      </w:r>
    </w:p>
    <w:p>
      <w:pPr>
        <w:jc w:val="left"/>
        <w:pStyle w:val="Heading4"/>
      </w:pPr>
      <w:r>
        <w:rPr>
          <w:rFonts w:hAnsi="Times New Roman" w:cs="Times New Roman"/>
        </w:rPr>
        <w:t xml:space="preserve">A570340 RAZVOJ ELEKTRONIČKIH KOMUNIKACIJA, INFORMACIJSKOG DRUŠTVA I POŠTANSKIH USLUGA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Uredba o potvrđivanju (ratifikaciji) Statuta i Konvencije Međunarodne udruge za telekomunikacije potpisanih u Ženevi, 22. prosinca 1992. godine, članak 28. Statuta, članak 33. Konvencije 
</w:t>
      </w:r>
    </w:p>
    <w:p>
      <w:pPr>
        <w:jc w:val="both"/>
        <w:pStyle w:val="Normal5"/>
      </w:pPr>
      <w:r>
        <w:rPr>
          <w:rFonts w:hAnsi="Times New Roman" w:cs="Times New Roman"/>
        </w:rPr>
        <w:t xml:space="preserve">- Zakon o potvrđivanju Instrumenta kojim se mijenja i dopunjuje Konvencija o uspostavljanju Europskog ureda za radiokomunikacije (ERO), članak 12. Konvencije 
</w:t>
      </w:r>
    </w:p>
    <w:p>
      <w:pPr>
        <w:jc w:val="both"/>
        <w:pStyle w:val="Normal5"/>
      </w:pPr>
      <w:r>
        <w:rPr>
          <w:rFonts w:hAnsi="Times New Roman" w:cs="Times New Roman"/>
        </w:rPr>
        <w:t xml:space="preserve">- Zakon o elektroničkim komunikacijama, članak 6. stavak 3. 
</w:t>
      </w:r>
    </w:p>
    <w:p>
      <w:pPr>
        <w:jc w:val="both"/>
        <w:pStyle w:val="Normal5"/>
      </w:pPr>
      <w:r>
        <w:rPr>
          <w:rFonts w:hAnsi="Times New Roman" w:cs="Times New Roman"/>
        </w:rPr>
        <w:t xml:space="preserve">- Zakon o potvrđivanju Općih pravila Svjetske poštanske unije, članak 150., stavci 1., 2. i 3. i članak 151. 
</w:t>
      </w:r>
    </w:p>
    <w:p>
      <w:pPr>
        <w:jc w:val="both"/>
        <w:pStyle w:val="Normal5"/>
      </w:pPr>
      <w:r>
        <w:rPr>
          <w:rFonts w:hAnsi="Times New Roman" w:cs="Times New Roman"/>
        </w:rPr>
        <w:t xml:space="preserve">- Zakon o potvrđivanju Prvog dodatnog protokola uz Opća pravila Svjetske poštanske unije, članak XIII.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A570340-RAZVOJ ELEKTRONIČKIH KOMUNIKACIJA, INFORMACIJSKOG DRUŠTVA I POŠTANSKIH USLUGA</w:t>
            </w:r>
          </w:p>
        </w:tc>
        <w:tc>
          <w:tcPr>
            <w:tcW w:w="1632.96" w:type="dxa"/>
            <w:vAlign w:val="center"/>
          </w:tcPr>
          <w:p>
            <w:pPr>
              <w:jc w:val="both"/>
              <w:pStyle w:val="CellColumn"/>
            </w:pPr>
            <w:r>
              <w:rPr>
                <w:rFonts w:hAnsi="Times New Roman" w:cs="Times New Roman"/>
              </w:rPr>
              <w:t xml:space="preserve">181.263</w:t>
            </w:r>
          </w:p>
        </w:tc>
        <w:tc>
          <w:tcPr>
            <w:tcW w:w="1632.96" w:type="dxa"/>
            <w:vAlign w:val="center"/>
          </w:tcPr>
          <w:p>
            <w:pPr>
              <w:jc w:val="both"/>
              <w:pStyle w:val="CellColumn"/>
            </w:pPr>
            <w:r>
              <w:rPr>
                <w:rFonts w:hAnsi="Times New Roman" w:cs="Times New Roman"/>
              </w:rPr>
              <w:t xml:space="preserve">207.250</w:t>
            </w:r>
          </w:p>
        </w:tc>
        <w:tc>
          <w:tcPr>
            <w:tcW w:w="1632.96" w:type="dxa"/>
            <w:vAlign w:val="center"/>
          </w:tcPr>
          <w:p>
            <w:pPr>
              <w:jc w:val="both"/>
              <w:pStyle w:val="CellColumn"/>
            </w:pPr>
            <w:r>
              <w:rPr>
                <w:rFonts w:hAnsi="Times New Roman" w:cs="Times New Roman"/>
              </w:rPr>
              <w:t xml:space="preserve">207.250</w:t>
            </w:r>
          </w:p>
        </w:tc>
        <w:tc>
          <w:tcPr>
            <w:tcW w:w="1632.96" w:type="dxa"/>
            <w:vAlign w:val="center"/>
          </w:tcPr>
          <w:p>
            <w:pPr>
              <w:jc w:val="both"/>
              <w:pStyle w:val="CellColumn"/>
            </w:pPr>
            <w:r>
              <w:rPr>
                <w:rFonts w:hAnsi="Times New Roman" w:cs="Times New Roman"/>
              </w:rPr>
              <w:t xml:space="preserve">207.250</w:t>
            </w:r>
          </w:p>
        </w:tc>
        <w:tc>
          <w:tcPr>
            <w:tcW w:w="1632.96" w:type="dxa"/>
            <w:vAlign w:val="center"/>
          </w:tcPr>
          <w:p>
            <w:pPr>
              <w:jc w:val="both"/>
              <w:pStyle w:val="CellColumn"/>
            </w:pPr>
            <w:r>
              <w:rPr>
                <w:rFonts w:hAnsi="Times New Roman" w:cs="Times New Roman"/>
              </w:rPr>
              <w:t xml:space="preserve">207.250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svake godine.   
</w:t>
      </w:r>
    </w:p>
    <w:p>
      <w:pPr>
        <w:jc w:val="both"/>
        <w:pStyle w:val="Normal"/>
      </w:pPr>
      <w:r>
        <w:rPr>
          <w:rFonts w:hAnsi="Times New Roman" w:cs="Times New Roman"/>
        </w:rPr>
        <w:t xml:space="preserve">U razdoblju 2026. – 2028. očekuje se ostvarenje sljedećeg: plaćanje obveza za članarine i norme (i druge propisane godišnje doprinose) u europskim i međunarodnim organizacijama i institucijama iz područja elektroničkih komunikacija, informacijskog društva, radijske opreme i elektromagnetske kompatibilnosti (Međunarodna telekomunikacijska unija – ITU i druga specijalizirana UN-ova tijela, Europska konferencija poštanskih i telekomunikacijskih uprava – CEPT, Odbor za elektroničke komunikacije – ECC, Europski institut za telekomunikacijske norme – ETSI, međunarodne organizacije za satelitske radijske komunikacije i dr.), te za članarine (i druge propisane godišnje doprinose) u europskim i međunarodnim poštanskim organizacijama i institucijama (Svjetska poštanska unija – UPU, Europska konferencija poštanskih i telekomunikacijskih uprava – CEPT, Europski odbor za poštansku regulaciju – CERP i dr.), kojih je Republika Hrvatska punopravni član, u ukupnom iznosu od 192.000 eura. Najvažnije zadaće ITU-a su namjena radiofrekvencijskog spektra i satelitskih orbita na globalnoj razini, normizacija u području komunikacijskih mreža i tehnologija te sveukupni razvoj ICT-a u svijetu. Republika Hrvatska, kao članica ETSI-ja, ostvaruje uvid u sve telekomunikacijske norme te ima pravo sudjelovati u pripremi i razvoju tih norma. Zadaća UPU-a je savjetovanje, posredovanje i povezivanje svih sudionika poštanskog sektora na globalnoj razini te pružanje tehničke pomoći, kao i utvrđivanje pravila za međunarodnu razmjenu poštanskih pošiljaka, poticanje razvoja poštanskog prometa i poboljšanje kakvoće poštanskih usluga. Također, sredstva s ove aktivnosti planirana su za intelektualne i osobne usluge (5.950,00 eura), te za tekuće donacije u novcu (9.300 eura), od kojih 5.300 eura za suorganizaciju 49. Međunarodnog znanstveno-stručnog i tehnološkog skupa MIPRO 2026., koji je najveći skup u Republici Hrvatskoj u području informacijskih i komunikacijskih tehnologija, elektronike i mikroelektronike, i 4.000 eura za suorganizaciju i pokroviteljstvo 68. Međunarodnog simpozija "Elektronika u pomorstvu – ELMAR 2026.", znanstvene konferencije u području multimedijskih komunikacija, obrade slike i video signala, navigacijskih sustava, obrade govora i zvuka, telekomunikacija, radijskih komunikacija te elektronike u pomorstvu.   
</w:t>
      </w:r>
    </w:p>
    <w:p>
      <w:pPr>
        <w:jc w:val="both"/>
        <w:pStyle w:val="Normal"/>
      </w:pPr>
      <w:r>
        <w:rPr>
          <w:rFonts w:hAnsi="Times New Roman" w:cs="Times New Roman"/>
        </w:rPr>
        <w:t xml:space="preserve">Izračun financijskog plana:  
</w:t>
      </w:r>
    </w:p>
    <w:p>
      <w:pPr>
        <w:jc w:val="both"/>
        <w:pStyle w:val="Normal"/>
      </w:pPr>
      <w:r>
        <w:rPr>
          <w:rFonts w:hAnsi="Times New Roman" w:cs="Times New Roman"/>
        </w:rPr>
        <w:t xml:space="preserve">1. Intelektualne i osobne usluge:   
</w:t>
      </w:r>
    </w:p>
    <w:p>
      <w:pPr>
        <w:jc w:val="both"/>
        <w:pStyle w:val="Normal"/>
      </w:pPr>
      <w:r>
        <w:rPr>
          <w:rFonts w:hAnsi="Times New Roman" w:cs="Times New Roman"/>
        </w:rPr>
        <w:t xml:space="preserve">Procjena mogućeg potrebnog iznosa za 2026. godinu = 5.950 eura  
</w:t>
      </w:r>
    </w:p>
    <w:p>
      <w:pPr>
        <w:jc w:val="both"/>
        <w:pStyle w:val="Normal"/>
      </w:pPr>
      <w:r>
        <w:rPr>
          <w:rFonts w:hAnsi="Times New Roman" w:cs="Times New Roman"/>
        </w:rPr>
        <w:t xml:space="preserve">Procjena mogućeg potrebnog iznosa za 2027. godinu = 5.950 eura  
</w:t>
      </w:r>
    </w:p>
    <w:p>
      <w:pPr>
        <w:jc w:val="both"/>
        <w:pStyle w:val="Normal"/>
      </w:pPr>
      <w:r>
        <w:rPr>
          <w:rFonts w:hAnsi="Times New Roman" w:cs="Times New Roman"/>
        </w:rPr>
        <w:t xml:space="preserve">Procjena mogućeg potrebnog iznosa za 2028. godinu = 5.950 eura 
</w:t>
      </w:r>
    </w:p>
    <w:p>
      <w:pPr>
        <w:jc w:val="both"/>
        <w:pStyle w:val="Normal"/>
      </w:pPr>
      <w:r>
        <w:rPr>
          <w:rFonts w:hAnsi="Times New Roman" w:cs="Times New Roman"/>
        </w:rPr>
        <w:t xml:space="preserve">Procjena mogućeg potrebnog iznosa utvrđena je na temelju potreba u prethodnim razdobljima kada je bilo potrebno sklopiti ugovor o djelu za usluge vanjskih suradnika koje je uključivalo poslove vezane za razne strategije, akcijske planove i sl., kao i za ovjerene prijevode za potrebe potvrđivanja akata Svjetske poštanske unije.  
</w:t>
      </w:r>
    </w:p>
    <w:p>
      <w:pPr>
        <w:jc w:val="both"/>
        <w:pStyle w:val="Normal"/>
      </w:pPr>
      <w:r>
        <w:rPr>
          <w:rFonts w:hAnsi="Times New Roman" w:cs="Times New Roman"/>
        </w:rPr>
        <w:t xml:space="preserve">2. Plaćanje članarina i normi:  
</w:t>
      </w:r>
    </w:p>
    <w:p>
      <w:pPr>
        <w:jc w:val="both"/>
        <w:pStyle w:val="Normal"/>
      </w:pPr>
      <w:r>
        <w:rPr>
          <w:rFonts w:hAnsi="Times New Roman" w:cs="Times New Roman"/>
        </w:rPr>
        <w:t xml:space="preserve">Očekivani iznosi članarina za razdoblje od 2026. do 2028.:  
</w:t>
      </w:r>
    </w:p>
    <w:p>
      <w:pPr>
        <w:jc w:val="both"/>
        <w:pStyle w:val="Normal"/>
      </w:pPr>
      <w:r>
        <w:rPr>
          <w:rFonts w:hAnsi="Times New Roman" w:cs="Times New Roman"/>
        </w:rPr>
        <w:t xml:space="preserve">- ITU – Međunarodna telekomunikacijska unija (International Telecommunication Union) – iznos godišnje članarine: protuvrijednost 79.500,00 CHF.  
</w:t>
      </w:r>
    </w:p>
    <w:p>
      <w:pPr>
        <w:jc w:val="both"/>
        <w:pStyle w:val="Normal"/>
      </w:pPr>
      <w:r>
        <w:rPr>
          <w:rFonts w:hAnsi="Times New Roman" w:cs="Times New Roman"/>
        </w:rPr>
        <w:t xml:space="preserve">- ECO – Europski komunikacijski ured (European Communications Office) – iznos godišnje članarine: protuvrijednost 69.391,00 DKK; CEPT – Europska konferencija poštanskih i telekomunikacijskih uprava (The European Conference of Postal and Telecommunications Administrations - CEPT) – ECO podrška CEPT predsjedništvu – iznos doprinosa predsjedništvu CEPT-a: 971,00 DKK.  
</w:t>
      </w:r>
    </w:p>
    <w:p>
      <w:pPr>
        <w:jc w:val="both"/>
        <w:pStyle w:val="Normal"/>
      </w:pPr>
      <w:r>
        <w:rPr>
          <w:rFonts w:hAnsi="Times New Roman" w:cs="Times New Roman"/>
        </w:rPr>
        <w:t xml:space="preserve">- ETSI – Europski institut za telekomunikacijske norme (European Telecommunications Standards Institute) – iznos godišnje članarine: protuvrijednost 48.900,00 EUR.  
</w:t>
      </w:r>
    </w:p>
    <w:p>
      <w:pPr>
        <w:jc w:val="both"/>
        <w:pStyle w:val="Normal"/>
      </w:pPr>
      <w:r>
        <w:rPr>
          <w:rFonts w:hAnsi="Times New Roman" w:cs="Times New Roman"/>
        </w:rPr>
        <w:t xml:space="preserve">- UPU – Svjetska poštanska unija (Universal Postal Union) – iznos godišnje članarine: protuvrijednost 44.270,00 CHF; godišnji doprinos za troškove prijevoda: protuvrijednost 1.600,00 CHF; te mogući dodatni troškovi prijevoda.     
</w:t>
      </w:r>
    </w:p>
    <w:p>
      <w:pPr>
        <w:jc w:val="both"/>
        <w:pStyle w:val="Normal"/>
      </w:pPr>
      <w:r>
        <w:rPr>
          <w:rFonts w:hAnsi="Times New Roman" w:cs="Times New Roman"/>
        </w:rPr>
        <w:t xml:space="preserve">Procjena potrebnog iznosa utvrđena je na temelju iznosa obveza za članarine i norme (i druge propisane godišnje doprinose) određenih propisima navedenih europskih i međunarodnih organizacija i institucija.  
</w:t>
      </w:r>
    </w:p>
    <w:p>
      <w:pPr>
        <w:jc w:val="both"/>
        <w:pStyle w:val="Normal"/>
      </w:pPr>
      <w:r>
        <w:rPr>
          <w:rFonts w:hAnsi="Times New Roman" w:cs="Times New Roman"/>
        </w:rPr>
        <w:t xml:space="preserve">3. Tekuće donacije u novcu:   
</w:t>
      </w:r>
    </w:p>
    <w:p>
      <w:pPr>
        <w:jc w:val="both"/>
        <w:pStyle w:val="Normal"/>
      </w:pPr>
      <w:r>
        <w:rPr>
          <w:rFonts w:hAnsi="Times New Roman" w:cs="Times New Roman"/>
        </w:rPr>
        <w:t xml:space="preserve">Očekivana suorganizacija 49. Međunarodnog znanstveno-stručnog i tehnološkog skupa MIPRO 2026. = 5.300 eura   
</w:t>
      </w:r>
    </w:p>
    <w:p>
      <w:pPr>
        <w:jc w:val="both"/>
        <w:pStyle w:val="Normal"/>
      </w:pPr>
      <w:r>
        <w:rPr>
          <w:rFonts w:hAnsi="Times New Roman" w:cs="Times New Roman"/>
        </w:rPr>
        <w:t xml:space="preserve">Očekivana suorganizacija i pokroviteljstvo 68. Međunarodnog simpozija "Elektronika u pomorstvu – ELMAR 2026." = 4.000 eura   
</w:t>
      </w:r>
    </w:p>
    <w:p>
      <w:pPr>
        <w:jc w:val="both"/>
        <w:pStyle w:val="Normal"/>
      </w:pPr>
      <w:r>
        <w:rPr>
          <w:rFonts w:hAnsi="Times New Roman" w:cs="Times New Roman"/>
        </w:rPr>
        <w:t xml:space="preserve">Očekivana suorganizacija 50. Međunarodnog znanstveno-stručnog i tehnološkog skupa MIPRO 2027. = 5.300 eura   
</w:t>
      </w:r>
    </w:p>
    <w:p>
      <w:pPr>
        <w:jc w:val="both"/>
        <w:pStyle w:val="Normal"/>
      </w:pPr>
      <w:r>
        <w:rPr>
          <w:rFonts w:hAnsi="Times New Roman" w:cs="Times New Roman"/>
        </w:rPr>
        <w:t xml:space="preserve">Očekivana suorganizacija i pokroviteljstvo 69. Međunarodnog simpozija "Elektronika u pomorstvu – ELMAR 2027." = 4.000 eura   
</w:t>
      </w:r>
    </w:p>
    <w:p>
      <w:pPr>
        <w:jc w:val="both"/>
        <w:pStyle w:val="Normal"/>
      </w:pPr>
      <w:r>
        <w:rPr>
          <w:rFonts w:hAnsi="Times New Roman" w:cs="Times New Roman"/>
        </w:rPr>
        <w:t xml:space="preserve">Očekivana suorganizacija 51. Međunarodnog znanstveno-stručnog i tehnološkog skupa MIPRO 2028. = 5.300 eura   
</w:t>
      </w:r>
    </w:p>
    <w:p>
      <w:pPr>
        <w:jc w:val="both"/>
        <w:pStyle w:val="Normal"/>
      </w:pPr>
      <w:r>
        <w:rPr>
          <w:rFonts w:hAnsi="Times New Roman" w:cs="Times New Roman"/>
        </w:rPr>
        <w:t xml:space="preserve">Očekivana suorganizacija i pokroviteljstvo 70. Međunarodnog simpozija "Elektronika u pomorstvu – ELMAR 2028." = 4.000 eura   
</w:t>
      </w:r>
    </w:p>
    <w:p>
      <w:pPr>
        <w:jc w:val="both"/>
        <w:pStyle w:val="Normal"/>
      </w:pPr>
      <w:r>
        <w:rPr>
          <w:rFonts w:hAnsi="Times New Roman" w:cs="Times New Roman"/>
        </w:rPr>
        <w:t xml:space="preserve">Očekivana suorganizacija i pokroviteljstvo procijenjena je na temelju dosadašnjih godina, a iznos naknade procijenjen je na temelju dosadašnjih sklopljenih ugovora.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Plaćene obveze za članarine i norme (i druge propisane godišnje doprinose) u europskim i međunarodnim organizacijama i institucijama</w:t>
            </w:r>
          </w:p>
        </w:tc>
        <w:tc>
          <w:tcPr>
            <w:tcW w:w="2245.32" w:type="dxa"/>
            <w:vAlign w:val="center"/>
          </w:tcPr>
          <w:p>
            <w:pPr>
              <w:jc w:val="both"/>
              <w:pStyle w:val="CellColumn"/>
            </w:pPr>
            <w:r>
              <w:rPr>
                <w:rFonts w:hAnsi="Times New Roman" w:cs="Times New Roman"/>
              </w:rPr>
              <w:t xml:space="preserve">Za članstvo u europskim i međunarodnim organizacijama nadležnima za elektroničke komunikacije i poštanske usluge RH plaća propisane iznose obveza za članarine i norme (i druge propisane godišnje doprinose)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A754032 NAKNADA KOJA SE DODJELJUJE PODUZETNICIMA KOJIMA JE POVJERENO OBAVLJANJE UNIVERZALNE POŠTANSKE USLUGE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poštanskim uslugama, članak 67. stavak 2., članak 48. stavak 5.  
</w:t>
      </w:r>
    </w:p>
    <w:p>
      <w:pPr>
        <w:jc w:val="both"/>
        <w:pStyle w:val="Normal5"/>
      </w:pPr>
      <w:r>
        <w:rPr>
          <w:rFonts w:hAnsi="Times New Roman" w:cs="Times New Roman"/>
        </w:rPr>
        <w:t xml:space="preserve">- Pravilnik o obavljanju univerzalne usluge (Hrvatska regulatorna agencija za mrežne djelatnosti)   
</w:t>
      </w:r>
    </w:p>
    <w:p>
      <w:pPr>
        <w:jc w:val="both"/>
        <w:pStyle w:val="Normal5"/>
      </w:pPr>
      <w:r>
        <w:rPr>
          <w:rFonts w:hAnsi="Times New Roman" w:cs="Times New Roman"/>
        </w:rPr>
        <w:t xml:space="preserve">- Naputak o izračunu i naknadi neto troška univerzalne usluge i procjene nepravednog financijskog opterećenja od 31. kolovoza 2015. (Hrvatska regulatorna agencija za mrežne djelatnosti)   
</w:t>
      </w:r>
    </w:p>
    <w:p>
      <w:pPr>
        <w:jc w:val="both"/>
        <w:pStyle w:val="Normal5"/>
      </w:pPr>
      <w:r>
        <w:rPr>
          <w:rFonts w:hAnsi="Times New Roman" w:cs="Times New Roman"/>
        </w:rPr>
        <w:t xml:space="preserve">- Odluka Vijeća Hrvatske regulatorne agencije za mrežne djelatnosti   
</w:t>
      </w:r>
    </w:p>
    <w:p>
      <w:pPr>
        <w:jc w:val="both"/>
        <w:pStyle w:val="Normal5"/>
      </w:pPr>
      <w:r>
        <w:rPr>
          <w:rFonts w:hAnsi="Times New Roman" w:cs="Times New Roman"/>
        </w:rPr>
        <w:t xml:space="preserve">- Zakon o državnim potporama   
</w:t>
      </w:r>
    </w:p>
    <w:p>
      <w:pPr>
        <w:jc w:val="both"/>
        <w:pStyle w:val="Normal5"/>
      </w:pPr>
      <w:r>
        <w:rPr>
          <w:rFonts w:hAnsi="Times New Roman" w:cs="Times New Roman"/>
        </w:rPr>
        <w:t xml:space="preserve">- Odluka o donošenju Smjernica politike državnih potpora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A754032-NAKNADA KOJA SE DODJELJUJE PODUZETNICIMA KOJIMA JE POVJERENO OBAVLJANJE UNIVERZALNE POŠTANSKE USLUGE</w:t>
            </w:r>
          </w:p>
        </w:tc>
        <w:tc>
          <w:tcPr>
            <w:tcW w:w="1632.96" w:type="dxa"/>
            <w:vAlign w:val="center"/>
          </w:tcPr>
          <w:p>
            <w:pPr>
              <w:jc w:val="both"/>
              <w:pStyle w:val="CellColumn"/>
            </w:pPr>
            <w:r>
              <w:rPr>
                <w:rFonts w:hAnsi="Times New Roman" w:cs="Times New Roman"/>
              </w:rPr>
              <w:t xml:space="preserve">25.109.179</w:t>
            </w:r>
          </w:p>
        </w:tc>
        <w:tc>
          <w:tcPr>
            <w:tcW w:w="1632.96" w:type="dxa"/>
            <w:vAlign w:val="center"/>
          </w:tcPr>
          <w:p>
            <w:pPr>
              <w:jc w:val="both"/>
              <w:pStyle w:val="CellColumn"/>
            </w:pPr>
            <w:r>
              <w:rPr>
                <w:rFonts w:hAnsi="Times New Roman" w:cs="Times New Roman"/>
              </w:rPr>
              <w:t xml:space="preserve">14.990.000</w:t>
            </w:r>
          </w:p>
        </w:tc>
        <w:tc>
          <w:tcPr>
            <w:tcW w:w="1632.96" w:type="dxa"/>
            <w:vAlign w:val="center"/>
          </w:tcPr>
          <w:p>
            <w:pPr>
              <w:jc w:val="both"/>
              <w:pStyle w:val="CellColumn"/>
            </w:pPr>
            <w:r>
              <w:rPr>
                <w:rFonts w:hAnsi="Times New Roman" w:cs="Times New Roman"/>
              </w:rPr>
              <w:t xml:space="preserve">12.540.000</w:t>
            </w:r>
          </w:p>
        </w:tc>
        <w:tc>
          <w:tcPr>
            <w:tcW w:w="1632.96" w:type="dxa"/>
            <w:vAlign w:val="center"/>
          </w:tcPr>
          <w:p>
            <w:pPr>
              <w:jc w:val="both"/>
              <w:pStyle w:val="CellColumn"/>
            </w:pPr>
            <w:r>
              <w:rPr>
                <w:rFonts w:hAnsi="Times New Roman" w:cs="Times New Roman"/>
              </w:rPr>
              <w:t xml:space="preserve">14.990.000</w:t>
            </w:r>
          </w:p>
        </w:tc>
        <w:tc>
          <w:tcPr>
            <w:tcW w:w="1632.96" w:type="dxa"/>
            <w:vAlign w:val="center"/>
          </w:tcPr>
          <w:p>
            <w:pPr>
              <w:jc w:val="both"/>
              <w:pStyle w:val="CellColumn"/>
            </w:pPr>
            <w:r>
              <w:rPr>
                <w:rFonts w:hAnsi="Times New Roman" w:cs="Times New Roman"/>
              </w:rPr>
              <w:t xml:space="preserve">14.990.000</w:t>
            </w:r>
          </w:p>
        </w:tc>
        <w:tc>
          <w:tcPr>
            <w:tcW w:w="510.3" w:type="dxa"/>
            <w:vAlign w:val="center"/>
          </w:tcPr>
          <w:p>
            <w:pPr>
              <w:jc w:val="both"/>
              <w:pStyle w:val="CellColumn"/>
            </w:pPr>
            <w:r>
              <w:rPr>
                <w:rFonts w:hAnsi="Times New Roman" w:cs="Times New Roman"/>
              </w:rPr>
              <w:t xml:space="preserve">83,7</w:t>
            </w:r>
          </w:p>
        </w:tc>
      </w:tr>
    </w:tbl>
    <w:p>
      <w:pPr>
        <w:jc w:val="left"/>
      </w:pPr>
      <w:r>
        <w:rPr>
          <w:rFonts w:hAnsi="Times New Roman" w:cs="Times New Roman"/>
        </w:rPr>
        <w:t xml:space="preserve"/>
      </w:r>
    </w:p>
    <w:p>
      <w:pPr>
        <w:jc w:val="both"/>
        <w:pStyle w:val="Normal"/>
      </w:pPr>
      <w:r>
        <w:rPr>
          <w:rFonts w:hAnsi="Times New Roman" w:cs="Times New Roman"/>
        </w:rPr>
        <w:t xml:space="preserve">Provedba ove aktivnosti započela je 2014. godine.   
</w:t>
      </w:r>
    </w:p>
    <w:p>
      <w:pPr>
        <w:jc w:val="both"/>
        <w:pStyle w:val="Normal"/>
      </w:pPr>
      <w:r>
        <w:rPr>
          <w:rFonts w:hAnsi="Times New Roman" w:cs="Times New Roman"/>
        </w:rPr>
        <w:t xml:space="preserve">U razdoblju 2026. – 2028. očekuje se ostvarenje sljedećeg: Ministarstvo mora, prometa i infrastrukture davatelj je državne potpore prema Pojedinačnoj državnoj potpori HP – Hrvatskoj pošti d.d. u obliku naknade za obavljanje univerzalne usluge za razdoblje od 2024. do 2027. godine, u skladu s mišljenjem Ministarstva financija, klasa: 421-01/23-01/59, urbroj: 513-13-03-23-2, od 20. prosinca 2023. godine. 
</w:t>
      </w:r>
    </w:p>
    <w:p>
      <w:pPr>
        <w:jc w:val="both"/>
        <w:pStyle w:val="Normal"/>
      </w:pPr>
      <w:r>
        <w:rPr>
          <w:rFonts w:hAnsi="Times New Roman" w:cs="Times New Roman"/>
        </w:rPr>
        <w:t xml:space="preserve">Cilj navedene državne potpore je ispunjenje obveze obavljanja usluge od općeg gospodarskog interesa - univerzalne usluge, za sve korisnike poštanskih usluga, pod jednakim uvjetima, na cijelom području Republike Hrvatske. 
</w:t>
      </w:r>
    </w:p>
    <w:p>
      <w:pPr>
        <w:jc w:val="both"/>
        <w:pStyle w:val="Normal"/>
      </w:pPr>
      <w:r>
        <w:rPr>
          <w:rFonts w:hAnsi="Times New Roman" w:cs="Times New Roman"/>
        </w:rPr>
        <w:t xml:space="preserve">Naknada korisniku potpore/poduzetniku osigurava se u državnom proračunu Republike Hrvatske kao subvencija trgovačkim društvima u javnom sektoru na aktivnosti državnog proračuna A754032 - Naknada koja se dodjeljuje poduzetnicima kojima je povjereno obavljanje univerzalne poštanske usluge. 
</w:t>
      </w:r>
    </w:p>
    <w:p>
      <w:pPr>
        <w:jc w:val="both"/>
        <w:pStyle w:val="Normal"/>
      </w:pPr>
      <w:r>
        <w:rPr>
          <w:rFonts w:hAnsi="Times New Roman" w:cs="Times New Roman"/>
        </w:rPr>
        <w:t xml:space="preserve">Zakonom o poštanskim uslugama ( u daljnjem tekstu: ZPU) propisano je obavljanje univerzalne (poštanske) usluge kao usluge od interesa za Republiku Hrvatsku, pa se u skladu s tim univerzalna usluga smatra uslugom od općeg gospodarskog interesa. Odredbom članka 67. stavka 2. ZPU-a HP-Hrvatska pošta d.d. stekla je pravo i obvezu obavljanja univerzalne usluge u trajanju od 15 godina (od dana stupanja na snagu Zakona). 
</w:t>
      </w:r>
    </w:p>
    <w:p>
      <w:pPr>
        <w:jc w:val="both"/>
        <w:pStyle w:val="Normal"/>
      </w:pPr>
      <w:r>
        <w:rPr>
          <w:rFonts w:hAnsi="Times New Roman" w:cs="Times New Roman"/>
        </w:rPr>
        <w:t xml:space="preserve">ZPU-om propisan je i postupak naknade nepravednog financijskog opterećenja ako obveza pružanja univerzalne usluge za davatelja te usluge stvara neto trošak. Hrvatska regulatorna agencija za mrežne djelatnosti (u daljnjem tekstu: HAKOM) svojom odlukom utvrđuje iznos neto troška koji predstavlja nepravedno financijsko opterećenje davatelja univerzalne usluge, a koji se, prema članku 48. stavku 5. ZPU-a, isplaćuje iz sredstava državnog proračuna RH, a na temelju odluke HAKOM-a te u skladu s pravilima o državnim potporama. Prema članku 49. stavku 1. ZPU-a, davatelj univerzalne usluge, koji želi ostvariti pravo na naknadu nepravednog opterećenja, podnosi zahtjev HAKOM-u najkasnije do 31. srpnja za prethodnu kalendarsku godinu. Također, prema stavku 2. istog članka, davatelj univerzalne usluge mora priložiti revizijsko izvješće i izračun stvarnog neto troška, sastavljen u skladu s odredbama članka 47. i 50. ZPU-a. Nadalje, prema stavku 2. istog članka, davatelj univerzalne usluge obvezan je na zahtjev HAKOM-a dostaviti dodatno obrazloženje neto troška. Na kraju, prema članku 48. stavku 4. ZPU-a, HAKOM donosi odluku najkasnije u roku od šest mjeseci od dana podnošenja urednog zahtjeva iz članka 49. stavka 1. ZPU-a. Za izračun nepravednog financijskog opterećenja u poštanskom sektoru u skladu sa ZPU-om i Pravilnikom o obavljanju univerzalne usluge Vijeće HAKOM-a donijelo je Naputak o izračunu i naknadi neto troška univerzalne usluge i procjene nepravednog financijskog opterećenja od 31. kolovoza 2015. 
</w:t>
      </w:r>
    </w:p>
    <w:p>
      <w:pPr>
        <w:jc w:val="both"/>
        <w:pStyle w:val="Normal"/>
      </w:pPr>
      <w:r>
        <w:rPr>
          <w:rFonts w:hAnsi="Times New Roman" w:cs="Times New Roman"/>
        </w:rPr>
        <w:t xml:space="preserve">Vijeće HAKOM-a donijelo je Odluku, klase: UP/I-344-02/23-06/01, urbroja: 376-04-23-03, 16. studenoga 2023. godine i utvrdilo da  iznos od 14.772.714,58 eura, predstavlja nepravedno financijsko opterećenje za davatelja univerzalne usluge HP-Hrvatskoj pošti d.d. u 2022. godini. 
</w:t>
      </w:r>
    </w:p>
    <w:p>
      <w:pPr>
        <w:jc w:val="both"/>
        <w:pStyle w:val="Normal"/>
      </w:pPr>
      <w:r>
        <w:rPr>
          <w:rFonts w:hAnsi="Times New Roman" w:cs="Times New Roman"/>
        </w:rPr>
        <w:t xml:space="preserve">Nadalje, Vijeće HAKOM-a donijelo je Odluku, klase: UP/I-344-02/24-06/01, urbroja: 376-04-24-03, 12. rujna 2024. godine i utvrdilo da iznos od 14.954.492,00 eura, predstavlja nepravedno financijsko opterećenje za davatelja univerzalne usluge HP-Hrvatskoj pošti d.d. u 2023. godini. 
</w:t>
      </w:r>
    </w:p>
    <w:p>
      <w:pPr>
        <w:jc w:val="both"/>
        <w:pStyle w:val="Normal"/>
      </w:pPr>
      <w:r>
        <w:rPr>
          <w:rFonts w:hAnsi="Times New Roman" w:cs="Times New Roman"/>
        </w:rPr>
        <w:t xml:space="preserve">Izračun financijskog plana:   
</w:t>
      </w:r>
    </w:p>
    <w:p>
      <w:pPr>
        <w:jc w:val="both"/>
        <w:pStyle w:val="Normal"/>
      </w:pPr>
      <w:r>
        <w:rPr>
          <w:rFonts w:hAnsi="Times New Roman" w:cs="Times New Roman"/>
        </w:rPr>
        <w:t xml:space="preserve">Procjena potrebnog iznosa za 2026. godinu = 12.540.000 eura  
</w:t>
      </w:r>
    </w:p>
    <w:p>
      <w:pPr>
        <w:jc w:val="both"/>
        <w:pStyle w:val="Normal"/>
      </w:pPr>
      <w:r>
        <w:rPr>
          <w:rFonts w:hAnsi="Times New Roman" w:cs="Times New Roman"/>
        </w:rPr>
        <w:t xml:space="preserve">Procjena potrebnog iznosa za 2027. godinu = 14.990.000 eura  
</w:t>
      </w:r>
    </w:p>
    <w:p>
      <w:pPr>
        <w:jc w:val="both"/>
        <w:pStyle w:val="Normal"/>
      </w:pPr>
      <w:r>
        <w:rPr>
          <w:rFonts w:hAnsi="Times New Roman" w:cs="Times New Roman"/>
        </w:rPr>
        <w:t xml:space="preserve">Procjena potrebnog iznosa za 2028. godinu = 14.990.000 eura  
</w:t>
      </w:r>
    </w:p>
    <w:p>
      <w:pPr>
        <w:jc w:val="both"/>
        <w:pStyle w:val="Normal"/>
      </w:pPr>
      <w:r>
        <w:rPr>
          <w:rFonts w:hAnsi="Times New Roman" w:cs="Times New Roman"/>
        </w:rPr>
        <w:t xml:space="preserve">Procjena potrebnog iznosa za naknadu za obavljanje univerzalne usluge procijenjena je na temelju dosadašnjih godina, te uzimajući u obzir procjene za buduće razdoblje u skladu s Pojedinačnom državnom potporom.</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isplaćene naknade koja se dodjeljuje poduzetnicima kojima je povjereno obavljanje univerzalne poštanske usluge slijedom odluke Hrvatske regulatorne agencije za mrežne djelatnosti</w:t>
            </w:r>
          </w:p>
        </w:tc>
        <w:tc>
          <w:tcPr>
            <w:tcW w:w="2245.32" w:type="dxa"/>
            <w:vAlign w:val="center"/>
          </w:tcPr>
          <w:p>
            <w:pPr>
              <w:jc w:val="both"/>
              <w:pStyle w:val="CellColumn"/>
            </w:pPr>
            <w:r>
              <w:rPr>
                <w:rFonts w:hAnsi="Times New Roman" w:cs="Times New Roman"/>
              </w:rPr>
              <w:t xml:space="preserve">Hrvatska regulatorna agencija za mrežne djelatnosti odlukom utvrđuje iznos neto troška koji predstavlja nepravedno financijsko opterećenje davatelja univerzalne usluge, a koji se isplaćuje iz sredstava državnog proračuna RH, u skladu s pravilima o državnim potporama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Hrvatska regulatorna agencija za mrežne djelatnosti,   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A820032 POTICANJE RAZVOJA ŠIROKOPOJASNOG PRISTUPA INTERNETU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elektroničkim komunikacijama, članci 59. i 60. 
</w:t>
      </w:r>
    </w:p>
    <w:p>
      <w:pPr>
        <w:jc w:val="both"/>
        <w:pStyle w:val="Normal5"/>
      </w:pPr>
      <w:r>
        <w:rPr>
          <w:rFonts w:hAnsi="Times New Roman" w:cs="Times New Roman"/>
        </w:rPr>
        <w:t xml:space="preserve">- Zakon o mjerama za smanjenje troškova postavljanja elektroničkih komunikacijskih mreža velikih brzina 
</w:t>
      </w:r>
    </w:p>
    <w:p>
      <w:pPr>
        <w:jc w:val="both"/>
        <w:pStyle w:val="Normal5"/>
      </w:pPr>
      <w:r>
        <w:rPr>
          <w:rFonts w:hAnsi="Times New Roman" w:cs="Times New Roman"/>
        </w:rPr>
        <w:t xml:space="preserve">- Nacionalni plan razvoja širokopojasnog pristupa u Republici Hrvatskoj u razdoblju od 2021. do 2027. godine 
</w:t>
      </w:r>
    </w:p>
    <w:p>
      <w:pPr>
        <w:jc w:val="both"/>
        <w:pStyle w:val="Normal5"/>
      </w:pPr>
      <w:r>
        <w:rPr>
          <w:rFonts w:hAnsi="Times New Roman" w:cs="Times New Roman"/>
        </w:rPr>
        <w:t xml:space="preserve">- Okvirni nacionalni program za razvoj infrastrukture širokopojasnog pristupa u područjima u kojima ne postoji dostatan komercijalni interes za ulaganja 
</w:t>
      </w:r>
    </w:p>
    <w:p>
      <w:pPr>
        <w:jc w:val="both"/>
        <w:pStyle w:val="Normal5"/>
      </w:pPr>
      <w:r>
        <w:rPr>
          <w:rFonts w:hAnsi="Times New Roman" w:cs="Times New Roman"/>
        </w:rPr>
        <w:t xml:space="preserve">- Nacionalni program razvoja širokopojasne agregacijske infrastrukture u područjima u kojima ne postoji dostatan komercijalni interes za ulaganja, kao preduvjet razvoja pristupnih mreža sljedeće generacije (NGA).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A820032-POTICANJE RAZVOJA ŠIROKOPOJASNOG PRISTUPA INTERNETU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25.435</w:t>
            </w:r>
          </w:p>
        </w:tc>
        <w:tc>
          <w:tcPr>
            <w:tcW w:w="1632.96" w:type="dxa"/>
            <w:vAlign w:val="center"/>
          </w:tcPr>
          <w:p>
            <w:pPr>
              <w:jc w:val="both"/>
              <w:pStyle w:val="CellColumn"/>
            </w:pPr>
            <w:r>
              <w:rPr>
                <w:rFonts w:hAnsi="Times New Roman" w:cs="Times New Roman"/>
              </w:rPr>
              <w:t xml:space="preserve">50.435</w:t>
            </w:r>
          </w:p>
        </w:tc>
        <w:tc>
          <w:tcPr>
            <w:tcW w:w="1632.96" w:type="dxa"/>
            <w:vAlign w:val="center"/>
          </w:tcPr>
          <w:p>
            <w:pPr>
              <w:jc w:val="both"/>
              <w:pStyle w:val="CellColumn"/>
            </w:pPr>
            <w:r>
              <w:rPr>
                <w:rFonts w:hAnsi="Times New Roman" w:cs="Times New Roman"/>
              </w:rPr>
              <w:t xml:space="preserve">50.435</w:t>
            </w:r>
          </w:p>
        </w:tc>
        <w:tc>
          <w:tcPr>
            <w:tcW w:w="1632.96" w:type="dxa"/>
            <w:vAlign w:val="center"/>
          </w:tcPr>
          <w:p>
            <w:pPr>
              <w:jc w:val="both"/>
              <w:pStyle w:val="CellColumn"/>
            </w:pPr>
            <w:r>
              <w:rPr>
                <w:rFonts w:hAnsi="Times New Roman" w:cs="Times New Roman"/>
              </w:rPr>
              <w:t xml:space="preserve">50.435</w:t>
            </w:r>
          </w:p>
        </w:tc>
        <w:tc>
          <w:tcPr>
            <w:tcW w:w="510.3" w:type="dxa"/>
            <w:vAlign w:val="center"/>
          </w:tcPr>
          <w:p>
            <w:pPr>
              <w:jc w:val="both"/>
              <w:pStyle w:val="CellColumn"/>
            </w:pPr>
            <w:r>
              <w:rPr>
                <w:rFonts w:hAnsi="Times New Roman" w:cs="Times New Roman"/>
              </w:rPr>
              <w:t xml:space="preserve">198,3</w:t>
            </w:r>
          </w:p>
        </w:tc>
      </w:tr>
    </w:tbl>
    <w:p>
      <w:pPr>
        <w:jc w:val="left"/>
      </w:pPr>
      <w:r>
        <w:rPr>
          <w:rFonts w:hAnsi="Times New Roman" w:cs="Times New Roman"/>
        </w:rPr>
        <w:t xml:space="preserve"/>
      </w:r>
    </w:p>
    <w:p>
      <w:pPr>
        <w:jc w:val="both"/>
        <w:pStyle w:val="Normal"/>
      </w:pPr>
      <w:r>
        <w:rPr>
          <w:rFonts w:hAnsi="Times New Roman" w:cs="Times New Roman"/>
        </w:rPr>
        <w:t xml:space="preserve">Provedba ove aktivnosti započela je 2016. godine.  
</w:t>
      </w:r>
    </w:p>
    <w:p>
      <w:pPr>
        <w:jc w:val="both"/>
        <w:pStyle w:val="Normal"/>
      </w:pPr>
      <w:r>
        <w:rPr>
          <w:rFonts w:hAnsi="Times New Roman" w:cs="Times New Roman"/>
        </w:rPr>
        <w:t xml:space="preserve">U razdoblju od 2026. do 2028. godine očekuje se ostvarenje sljedećeg: u skladu s Nacionalnom razvojnom strategijom Republike Hrvatske do 2030. godine (NN 13/21.) i razvojnim smjerom 3. Zelena i digitalna tranzicija, strateški cilj 11. Digitalna tranzicija društva i gospodarstva, kao prioritet provedbe politike na području razvoja širokopojasnih elektroničkih komunikacijskih mreža planiran je razvoj i izgradnja širokopojasne infrastrukture i elektroničkih komunikacijskih mreža vrlo velikog kapaciteta koje omogućuju gigabitnu povezivost.   
</w:t>
      </w:r>
    </w:p>
    <w:p>
      <w:pPr>
        <w:jc w:val="both"/>
        <w:pStyle w:val="Normal"/>
      </w:pPr>
      <w:r>
        <w:rPr>
          <w:rFonts w:hAnsi="Times New Roman" w:cs="Times New Roman"/>
        </w:rPr>
        <w:t xml:space="preserve">Vlada RH je 11. ožujka 2021. godine donijela Nacionalni plan razvoja širokopojasnog pristupa u Republici Hrvatskoj u razdoblju od 2021. do 2027. godine (NN 26/21.), kao srednjoročni akt strateškog planiranja kojim se podupire provedba strateškog okvira NRS 2030., a ujedno i Strategije digitalne Hrvatske za razdoblje do 2032. godine (NN 2/23.), koja je usvojena 2023. godine. Kroz prioritetno područje 3.2.3. Razvoj širokopojasnih elektroničkih komunikacijskih mreža i Strateški cilj 3: Razvijene, dostupne i korištene mreža vrlo velikih kapaciteta planira se osigurati dostupnost mreža vrlo velikog kapaciteta za kućanstva i objekte javne namjene, znatno unaprijediti dostupnost mreža vrlo velikog kapaciteta u ruralnim područjima i na otocima, povećati pokrivenost naseljenih područja i glavnih prometnih pravaca 5G mrežama, unaprijediti i poticati korištenje usluga širokopojasnog pristupa velikih brzina (od najmanje 100 Mbit/s) te unaprijediti regulatorni okvir povezan s gradnjom i prostornim planiranjem s ciljem da bude poticajan za gradnju mreža vrlo velikog kapaciteta u smislu manjih troškova i jednostavnijih procedura.   
</w:t>
      </w:r>
    </w:p>
    <w:p>
      <w:pPr>
        <w:jc w:val="both"/>
        <w:pStyle w:val="Normal"/>
      </w:pPr>
      <w:r>
        <w:rPr>
          <w:rFonts w:hAnsi="Times New Roman" w:cs="Times New Roman"/>
        </w:rPr>
        <w:t xml:space="preserve">Provedba mjera i aktivnosti Nacionalnog plana je u tijeku.  
</w:t>
      </w:r>
    </w:p>
    <w:p>
      <w:pPr>
        <w:jc w:val="both"/>
        <w:pStyle w:val="Normal"/>
      </w:pPr>
      <w:r>
        <w:rPr>
          <w:rFonts w:hAnsi="Times New Roman" w:cs="Times New Roman"/>
        </w:rPr>
        <w:t xml:space="preserve">Nacionalni plan predstavlja kontinuitet politike Vlade Republike Hrvatske u strateškom planiranju razvoja širokopojasnog pristupa u Republici Hrvatskoj, s ciljem daljnjeg razvoja pozitivnih stečevina razvoja širokopojasnog pristupa zacrtanih strategijama razvoja širokopojasnog pristupa za razdoblja 2006.-2008., 2009.-2012., 2012.-2015., 2016.-2020. i 2021.-2027.  
</w:t>
      </w:r>
    </w:p>
    <w:p>
      <w:pPr>
        <w:jc w:val="both"/>
        <w:pStyle w:val="Normal"/>
      </w:pPr>
      <w:r>
        <w:rPr>
          <w:rFonts w:hAnsi="Times New Roman" w:cs="Times New Roman"/>
        </w:rPr>
        <w:t xml:space="preserve">Unaprjeđivanje kakvoće i opsega tog razvoja, uz pojačane aktivnosti u uklanjanju uočenih administrativnih prepreka i nedostataka, osobito na razini lokalne i područne (regionalne) samouprave kojoj treba omogućiti i potaknuti je da djelatno sudjeluje u poticanju i razvoju širokopojasnog pristupa, osnovni je cilj Nacionalnog plana, izrađenog u skladu s mjerodavnim zakonodavnim okvirom sustava strateškog planiranja i upravljanja razvojem Republike Hrvatske te razvojnim smjerom Povezana Hrvatska Nacionalne razvojne strategije Republike Hrvatske do 2030. godine.  
</w:t>
      </w:r>
    </w:p>
    <w:p>
      <w:pPr>
        <w:jc w:val="both"/>
        <w:pStyle w:val="Normal"/>
      </w:pPr>
      <w:r>
        <w:rPr>
          <w:rFonts w:hAnsi="Times New Roman" w:cs="Times New Roman"/>
        </w:rPr>
        <w:t xml:space="preserve">Očekuje se da će provedbom Nacionalnog plana do 2027. godine mreže vrlo velikog kapaciteta, odnosno širokopojasni priključci s brzinama od najmanje 100 Mbit/s, uz mogućnost nadogradnje na brzine do 1 Gbit/s, postati dostupni svim kućanstvima, gospodarskim subjektima i javnim korisnicima na području Republike Hrvatske. Nacionalni plan doprinijeti će smanjenju digitalnog jaza u dostupnosti širokopojasnog pristupa vrlo velikih brzina i kapaciteta između urbanih i ruralnih područja, te razvijenih i manje razvijenih dijelova države. Do kraja 2027. godine očekuje se da će dostupnost širokopojasnog pristupa u Republici Hrvatskoj biti jednaka prosječnim vrijednostima na razini Europske unije. 5G mrežama bit će pokrivena sva urbana područja i glavni kopneni prometni pravci u državi.  
</w:t>
      </w:r>
    </w:p>
    <w:p>
      <w:pPr>
        <w:jc w:val="both"/>
        <w:pStyle w:val="Normal"/>
      </w:pPr>
      <w:r>
        <w:rPr>
          <w:rFonts w:hAnsi="Times New Roman" w:cs="Times New Roman"/>
        </w:rPr>
        <w:t xml:space="preserve">Dostupnost mreža vrlo velikog kapaciteta (gigabitna povezivost) i 5G mreža dat će poticaj širokom korištenju i primjeni IKT-a u gospodarstvu i kućanstvima, omogućit će punu digitalizaciju sustava javne uprave te je u konačnici realno za očekivati da će  Republika Hrvatska u narednom razdoblju ostvarivati  brži gospodarski rast.  
</w:t>
      </w:r>
    </w:p>
    <w:p>
      <w:pPr>
        <w:jc w:val="both"/>
        <w:pStyle w:val="Normal"/>
      </w:pPr>
      <w:r>
        <w:rPr>
          <w:rFonts w:hAnsi="Times New Roman" w:cs="Times New Roman"/>
        </w:rPr>
        <w:t xml:space="preserve">Izračun financijskog plana:    
</w:t>
      </w:r>
    </w:p>
    <w:p>
      <w:pPr>
        <w:jc w:val="both"/>
        <w:pStyle w:val="Normal"/>
      </w:pPr>
      <w:r>
        <w:rPr>
          <w:rFonts w:hAnsi="Times New Roman" w:cs="Times New Roman"/>
        </w:rPr>
        <w:t xml:space="preserve">1. Intelektualne i osobne usluge    
</w:t>
      </w:r>
    </w:p>
    <w:p>
      <w:pPr>
        <w:jc w:val="both"/>
        <w:pStyle w:val="Normal"/>
      </w:pPr>
      <w:r>
        <w:rPr>
          <w:rFonts w:hAnsi="Times New Roman" w:cs="Times New Roman"/>
        </w:rPr>
        <w:t xml:space="preserve">Procjena mogućeg potrebnog iznosa za 2026. godinu = 39.817 EUR    
</w:t>
      </w:r>
    </w:p>
    <w:p>
      <w:pPr>
        <w:jc w:val="both"/>
        <w:pStyle w:val="Normal"/>
      </w:pPr>
      <w:r>
        <w:rPr>
          <w:rFonts w:hAnsi="Times New Roman" w:cs="Times New Roman"/>
        </w:rPr>
        <w:t xml:space="preserve">Procjena mogućeg potrebnog iznosa za 2027. godinu = 39.817 EUR    
</w:t>
      </w:r>
    </w:p>
    <w:p>
      <w:pPr>
        <w:jc w:val="both"/>
        <w:pStyle w:val="Normal"/>
      </w:pPr>
      <w:r>
        <w:rPr>
          <w:rFonts w:hAnsi="Times New Roman" w:cs="Times New Roman"/>
        </w:rPr>
        <w:t xml:space="preserve">Procjena mogućeg potrebnog iznosa za 2028. godinu = 39.817 EUR    
</w:t>
      </w:r>
    </w:p>
    <w:p>
      <w:pPr>
        <w:jc w:val="both"/>
        <w:pStyle w:val="Normal"/>
      </w:pPr>
      <w:r>
        <w:rPr>
          <w:rFonts w:hAnsi="Times New Roman" w:cs="Times New Roman"/>
        </w:rPr>
        <w:t xml:space="preserve">Procjena mogućeg potrebnog iznosa utvrđena je na temelju potrebe za provedbu postupka vrednovanja nakon završetka provedbe Nacionalnog plana razvoja širokopojasnog pristupa u Republici Hrvatskoj u razdoblju od 2021. do 2027. godine.    
</w:t>
      </w:r>
    </w:p>
    <w:p>
      <w:pPr>
        <w:jc w:val="both"/>
        <w:pStyle w:val="Normal"/>
      </w:pPr>
      <w:r>
        <w:rPr>
          <w:rFonts w:hAnsi="Times New Roman" w:cs="Times New Roman"/>
        </w:rPr>
        <w:t xml:space="preserve">2. Ostale usluge  
</w:t>
      </w:r>
    </w:p>
    <w:p>
      <w:pPr>
        <w:jc w:val="both"/>
        <w:pStyle w:val="Normal"/>
      </w:pPr>
      <w:r>
        <w:rPr>
          <w:rFonts w:hAnsi="Times New Roman" w:cs="Times New Roman"/>
        </w:rPr>
        <w:t xml:space="preserve">Procjena mogućeg potrebnog iznosa za 2026. godinu = 6.636 EUR    
</w:t>
      </w:r>
    </w:p>
    <w:p>
      <w:pPr>
        <w:jc w:val="both"/>
        <w:pStyle w:val="Normal"/>
      </w:pPr>
      <w:r>
        <w:rPr>
          <w:rFonts w:hAnsi="Times New Roman" w:cs="Times New Roman"/>
        </w:rPr>
        <w:t xml:space="preserve">Procjena mogućeg potrebnog iznosa za 2027. godinu = 6.636 EUR    
</w:t>
      </w:r>
    </w:p>
    <w:p>
      <w:pPr>
        <w:jc w:val="both"/>
        <w:pStyle w:val="Normal"/>
      </w:pPr>
      <w:r>
        <w:rPr>
          <w:rFonts w:hAnsi="Times New Roman" w:cs="Times New Roman"/>
        </w:rPr>
        <w:t xml:space="preserve">Procjena mogućeg potrebnog iznosa za 2028. godinu = 6.636 EUR    
</w:t>
      </w:r>
    </w:p>
    <w:p>
      <w:pPr>
        <w:jc w:val="both"/>
        <w:pStyle w:val="Normal"/>
      </w:pPr>
      <w:r>
        <w:rPr>
          <w:rFonts w:hAnsi="Times New Roman" w:cs="Times New Roman"/>
        </w:rPr>
        <w:t xml:space="preserve">Procjena mogućeg potrebnog iznosa utvrđena je na temelju potreba za informiranjem javnosti putem skupova i javnih tribina, izradu brošura i drugih tiskanih materijala za sve relevantne društvene skupine o mogućnostima i koristima vezanim uz Nacionalni plan razvoja širokopojasnog pristupa u Republici Hrvatskoj u razdoblju od 2021. do 2027. godine.  
</w:t>
      </w:r>
    </w:p>
    <w:p>
      <w:pPr>
        <w:jc w:val="both"/>
        <w:pStyle w:val="Normal"/>
      </w:pPr>
      <w:r>
        <w:rPr>
          <w:rFonts w:hAnsi="Times New Roman" w:cs="Times New Roman"/>
        </w:rPr>
        <w:t xml:space="preserve">3. Naknade za rad predstavničkih i izvršnih tijela, povjerenstava i sl.  
</w:t>
      </w:r>
    </w:p>
    <w:p>
      <w:pPr>
        <w:jc w:val="both"/>
        <w:pStyle w:val="Normal"/>
      </w:pPr>
      <w:r>
        <w:rPr>
          <w:rFonts w:hAnsi="Times New Roman" w:cs="Times New Roman"/>
        </w:rPr>
        <w:t xml:space="preserve">Procjena mogućeg potrebnog iznosa za 2026. godinu = 3.982 EUR    
</w:t>
      </w:r>
    </w:p>
    <w:p>
      <w:pPr>
        <w:jc w:val="both"/>
        <w:pStyle w:val="Normal"/>
      </w:pPr>
      <w:r>
        <w:rPr>
          <w:rFonts w:hAnsi="Times New Roman" w:cs="Times New Roman"/>
        </w:rPr>
        <w:t xml:space="preserve">Procjena mogućeg potrebnog iznosa za 2027. godinu = 3.982 EUR    
</w:t>
      </w:r>
    </w:p>
    <w:p>
      <w:pPr>
        <w:jc w:val="both"/>
        <w:pStyle w:val="Normal"/>
      </w:pPr>
      <w:r>
        <w:rPr>
          <w:rFonts w:hAnsi="Times New Roman" w:cs="Times New Roman"/>
        </w:rPr>
        <w:t xml:space="preserve">Procjena mogućeg potrebnog iznosa za 2028. godinu = 3.982 EUR    
</w:t>
      </w:r>
    </w:p>
    <w:p>
      <w:pPr>
        <w:jc w:val="both"/>
        <w:pStyle w:val="Normal"/>
      </w:pPr>
      <w:r>
        <w:rPr>
          <w:rFonts w:hAnsi="Times New Roman" w:cs="Times New Roman"/>
        </w:rPr>
        <w:t xml:space="preserve">Procjena mogućeg potrebnog iznosa utvrđena je na temelju potreba za naknadama za rad radnih skupina vezanih uz aktivnosti iz Nacionalnog plana razvoja širokopojasnog pristupa u Republici Hrvatskoj u razdoblju od 2021. do 2027. godine.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održanih skupova i javnih tribina</w:t>
            </w:r>
          </w:p>
        </w:tc>
        <w:tc>
          <w:tcPr>
            <w:tcW w:w="2245.32" w:type="dxa"/>
            <w:vAlign w:val="center"/>
          </w:tcPr>
          <w:p>
            <w:pPr>
              <w:jc w:val="both"/>
              <w:pStyle w:val="CellColumn"/>
            </w:pPr>
            <w:r>
              <w:rPr>
                <w:rFonts w:hAnsi="Times New Roman" w:cs="Times New Roman"/>
              </w:rPr>
              <w:t xml:space="preserve">Informiranje jedinica lokalne i područne (regionalne) samouprave o ključnim odredbama prostornih planova vezanim uz postavljanje elektroničkih komunikacijskih mreža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Hrvatska regulatorna agencija za mrežne djelatnosti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održanih sastanaka radne skupine za 5G mreže</w:t>
            </w:r>
          </w:p>
        </w:tc>
        <w:tc>
          <w:tcPr>
            <w:tcW w:w="2245.32" w:type="dxa"/>
            <w:vAlign w:val="center"/>
          </w:tcPr>
          <w:p>
            <w:pPr>
              <w:jc w:val="both"/>
              <w:pStyle w:val="CellColumn"/>
            </w:pPr>
            <w:r>
              <w:rPr>
                <w:rFonts w:hAnsi="Times New Roman" w:cs="Times New Roman"/>
              </w:rPr>
              <w:t xml:space="preserve">Izvješćivanje o napretku uvođenja 5G mreža, identificiranje uočenih prepreka i teškoća vezanih uz uvođenje 5G mreža, suradnja radne skupine s tijelima državne uprave nadležnima za digitalno društvo</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Hrvatska regulatorna agencija za mrežne djelatnosti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3"/>
      </w:pPr>
      <w:r>
        <w:rPr>
          <w:rFonts w:hAnsi="Times New Roman" w:cs="Times New Roman"/>
        </w:rPr>
        <w:t xml:space="preserve">3109 SIGURNOST PLOVIDBE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3109-SIGURNOST PLOVIDBE</w:t>
            </w:r>
          </w:p>
        </w:tc>
        <w:tc>
          <w:tcPr>
            <w:tcW w:w="1632.96" w:type="dxa"/>
            <w:vAlign w:val="center"/>
          </w:tcPr>
          <w:p>
            <w:pPr>
              <w:jc w:val="both"/>
              <w:pStyle w:val="CellColumn"/>
            </w:pPr>
            <w:r>
              <w:rPr>
                <w:rFonts w:hAnsi="Times New Roman" w:cs="Times New Roman"/>
              </w:rPr>
              <w:t xml:space="preserve">30.593.584</w:t>
            </w:r>
          </w:p>
        </w:tc>
        <w:tc>
          <w:tcPr>
            <w:tcW w:w="1632.96" w:type="dxa"/>
            <w:vAlign w:val="center"/>
          </w:tcPr>
          <w:p>
            <w:pPr>
              <w:jc w:val="both"/>
              <w:pStyle w:val="CellColumn"/>
            </w:pPr>
            <w:r>
              <w:rPr>
                <w:rFonts w:hAnsi="Times New Roman" w:cs="Times New Roman"/>
              </w:rPr>
              <w:t xml:space="preserve">50.298.319</w:t>
            </w:r>
          </w:p>
        </w:tc>
        <w:tc>
          <w:tcPr>
            <w:tcW w:w="1632.96" w:type="dxa"/>
            <w:vAlign w:val="center"/>
          </w:tcPr>
          <w:p>
            <w:pPr>
              <w:jc w:val="both"/>
              <w:pStyle w:val="CellColumn"/>
            </w:pPr>
            <w:r>
              <w:rPr>
                <w:rFonts w:hAnsi="Times New Roman" w:cs="Times New Roman"/>
              </w:rPr>
              <w:t xml:space="preserve">47.619.023</w:t>
            </w:r>
          </w:p>
        </w:tc>
        <w:tc>
          <w:tcPr>
            <w:tcW w:w="1632.96" w:type="dxa"/>
            <w:vAlign w:val="center"/>
          </w:tcPr>
          <w:p>
            <w:pPr>
              <w:jc w:val="both"/>
              <w:pStyle w:val="CellColumn"/>
            </w:pPr>
            <w:r>
              <w:rPr>
                <w:rFonts w:hAnsi="Times New Roman" w:cs="Times New Roman"/>
              </w:rPr>
              <w:t xml:space="preserve">73.887.696</w:t>
            </w:r>
          </w:p>
        </w:tc>
        <w:tc>
          <w:tcPr>
            <w:tcW w:w="1632.96" w:type="dxa"/>
            <w:vAlign w:val="center"/>
          </w:tcPr>
          <w:p>
            <w:pPr>
              <w:jc w:val="both"/>
              <w:pStyle w:val="CellColumn"/>
            </w:pPr>
            <w:r>
              <w:rPr>
                <w:rFonts w:hAnsi="Times New Roman" w:cs="Times New Roman"/>
              </w:rPr>
              <w:t xml:space="preserve">51.882.973</w:t>
            </w:r>
          </w:p>
        </w:tc>
        <w:tc>
          <w:tcPr>
            <w:tcW w:w="510.3" w:type="dxa"/>
            <w:vAlign w:val="center"/>
          </w:tcPr>
          <w:p>
            <w:pPr>
              <w:jc w:val="both"/>
              <w:pStyle w:val="CellColumn"/>
            </w:pPr>
            <w:r>
              <w:rPr>
                <w:rFonts w:hAnsi="Times New Roman" w:cs="Times New Roman"/>
              </w:rPr>
              <w:t xml:space="preserve">94,7</w:t>
            </w:r>
          </w:p>
        </w:tc>
      </w:tr>
    </w:tbl>
    <w:p>
      <w:pPr>
        <w:jc w:val="left"/>
      </w:pPr>
      <w:r>
        <w:rPr>
          <w:rFonts w:hAnsi="Times New Roman" w:cs="Times New Roman"/>
        </w:rPr>
        <w:t xml:space="preserve"/>
      </w:r>
    </w:p>
    <w:p>
      <w:pPr>
        <w:jc w:val="left"/>
        <w:pStyle w:val="Heading7"/>
      </w:pPr>
      <w:r>
        <w:rPr>
          <w:rFonts w:hAnsi="Times New Roman" w:cs="Times New Roman"/>
        </w:rPr>
        <w:t xml:space="preserve">Cilj 1. Sigurna plovidba morem i unutarnjim vodama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Smanjen broj plovidbenih nezgoda</w:t>
            </w:r>
          </w:p>
        </w:tc>
        <w:tc>
          <w:tcPr>
            <w:tcW w:w="2245.32" w:type="dxa"/>
            <w:vAlign w:val="center"/>
          </w:tcPr>
          <w:p>
            <w:pPr>
              <w:jc w:val="both"/>
              <w:pStyle w:val="CellColumn"/>
            </w:pPr>
            <w:r>
              <w:rPr>
                <w:rFonts w:hAnsi="Times New Roman" w:cs="Times New Roman"/>
              </w:rPr>
              <w:t xml:space="preserve">Smanjenje broja evidentiranih pomorskih nezgoda u promatranom razdoblju ukazuje na povećanje razine sigurnosti plovidbe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980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&lt;960</w:t>
            </w:r>
          </w:p>
        </w:tc>
        <w:tc>
          <w:tcPr>
            <w:tcW w:w="918.54" w:type="dxa"/>
            <w:vAlign w:val="center"/>
          </w:tcPr>
          <w:p>
            <w:pPr>
              <w:jc w:val="both"/>
              <w:pStyle w:val="CellColumn"/>
            </w:pPr>
            <w:r>
              <w:rPr>
                <w:rFonts w:hAnsi="Times New Roman" w:cs="Times New Roman"/>
              </w:rPr>
              <w:t xml:space="preserve">&lt;950</w:t>
            </w:r>
          </w:p>
        </w:tc>
        <w:tc>
          <w:tcPr>
            <w:tcW w:w="918.54" w:type="dxa"/>
            <w:vAlign w:val="center"/>
          </w:tcPr>
          <w:p>
            <w:pPr>
              <w:jc w:val="both"/>
              <w:pStyle w:val="CellColumn"/>
            </w:pPr>
            <w:r>
              <w:rPr>
                <w:rFonts w:hAnsi="Times New Roman" w:cs="Times New Roman"/>
              </w:rPr>
              <w:t xml:space="preserve">&lt;940</w:t>
            </w:r>
          </w:p>
        </w:tc>
      </w:tr>
    </w:tbl>
    <w:p>
      <w:pPr>
        <w:jc w:val="left"/>
      </w:pPr>
      <w:r>
        <w:rPr>
          <w:rFonts w:hAnsi="Times New Roman" w:cs="Times New Roman"/>
        </w:rPr>
        <w:t xml:space="preserve"/>
      </w:r>
    </w:p>
    <w:p>
      <w:pPr>
        <w:jc w:val="left"/>
        <w:pStyle w:val="Heading4"/>
      </w:pPr>
      <w:r>
        <w:rPr>
          <w:rFonts w:hAnsi="Times New Roman" w:cs="Times New Roman"/>
        </w:rPr>
        <w:t xml:space="preserve">A570017 SIGURNOST PLOVIDBE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dio III., IV., V., VIII. i XI.
</w:t>
      </w:r>
    </w:p>
    <w:p>
      <w:pPr>
        <w:jc w:val="both"/>
        <w:pStyle w:val="Normal5"/>
      </w:pPr>
      <w:r>
        <w:rPr>
          <w:rFonts w:hAnsi="Times New Roman" w:cs="Times New Roman"/>
        </w:rPr>
        <w:t xml:space="preserve">- Zakon o plovidbi i lukama unutarnjih voda
</w:t>
      </w:r>
    </w:p>
    <w:p>
      <w:pPr>
        <w:jc w:val="both"/>
        <w:pStyle w:val="Normal5"/>
      </w:pPr>
      <w:r>
        <w:rPr>
          <w:rFonts w:hAnsi="Times New Roman" w:cs="Times New Roman"/>
        </w:rPr>
        <w:t xml:space="preserve">- Zakon o lučkim kapetanijama
</w:t>
      </w:r>
    </w:p>
    <w:p>
      <w:pPr>
        <w:jc w:val="both"/>
        <w:pStyle w:val="Normal5"/>
      </w:pPr>
      <w:r>
        <w:rPr>
          <w:rFonts w:hAnsi="Times New Roman" w:cs="Times New Roman"/>
        </w:rPr>
        <w:t xml:space="preserve">- Zakon o pomorskom dobru i morskim lukama dio IV., V. i VI.
</w:t>
      </w:r>
    </w:p>
    <w:p>
      <w:pPr>
        <w:jc w:val="both"/>
        <w:pStyle w:val="Normal5"/>
      </w:pPr>
      <w:r>
        <w:rPr>
          <w:rFonts w:hAnsi="Times New Roman" w:cs="Times New Roman"/>
        </w:rPr>
        <w:t xml:space="preserve">- Zakon o sigurnosnoj zaštiti pomorskih brodova i luka
</w:t>
      </w:r>
    </w:p>
    <w:p>
      <w:pPr>
        <w:jc w:val="both"/>
        <w:pStyle w:val="Normal5"/>
      </w:pPr>
      <w:r>
        <w:rPr>
          <w:rFonts w:hAnsi="Times New Roman" w:cs="Times New Roman"/>
        </w:rPr>
        <w:t xml:space="preserve">- Nacionalni plan traganja i spašavanja ljudskih života na moru
</w:t>
      </w:r>
    </w:p>
    <w:p>
      <w:pPr>
        <w:jc w:val="both"/>
        <w:pStyle w:val="Normal5"/>
      </w:pPr>
      <w:r>
        <w:rPr>
          <w:rFonts w:hAnsi="Times New Roman" w:cs="Times New Roman"/>
        </w:rPr>
        <w:t xml:space="preserve">- Plan intervencija kod iznenadnih onečišćenja mora
</w:t>
      </w:r>
    </w:p>
    <w:p>
      <w:pPr>
        <w:jc w:val="both"/>
        <w:pStyle w:val="Normal5"/>
      </w:pPr>
      <w:r>
        <w:rPr>
          <w:rFonts w:hAnsi="Times New Roman" w:cs="Times New Roman"/>
        </w:rPr>
        <w:t xml:space="preserve">- Pravilnik o službenoj odori državnih službenika lučkih kapetanija
</w:t>
      </w:r>
    </w:p>
    <w:p>
      <w:pPr>
        <w:jc w:val="both"/>
        <w:pStyle w:val="Normal5"/>
      </w:pPr>
      <w:r>
        <w:rPr>
          <w:rFonts w:hAnsi="Times New Roman" w:cs="Times New Roman"/>
        </w:rPr>
        <w:t xml:space="preserve">- Zakon o Plovputu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A570017-SIGURNOST PLOVIDBE</w:t>
            </w:r>
          </w:p>
        </w:tc>
        <w:tc>
          <w:tcPr>
            <w:tcW w:w="1632.96" w:type="dxa"/>
            <w:vAlign w:val="center"/>
          </w:tcPr>
          <w:p>
            <w:pPr>
              <w:jc w:val="both"/>
              <w:pStyle w:val="CellColumn"/>
            </w:pPr>
            <w:r>
              <w:rPr>
                <w:rFonts w:hAnsi="Times New Roman" w:cs="Times New Roman"/>
              </w:rPr>
              <w:t xml:space="preserve">21.615.971</w:t>
            </w:r>
          </w:p>
        </w:tc>
        <w:tc>
          <w:tcPr>
            <w:tcW w:w="1632.96" w:type="dxa"/>
            <w:vAlign w:val="center"/>
          </w:tcPr>
          <w:p>
            <w:pPr>
              <w:jc w:val="both"/>
              <w:pStyle w:val="CellColumn"/>
            </w:pPr>
            <w:r>
              <w:rPr>
                <w:rFonts w:hAnsi="Times New Roman" w:cs="Times New Roman"/>
              </w:rPr>
              <w:t xml:space="preserve">37.522.106</w:t>
            </w:r>
          </w:p>
        </w:tc>
        <w:tc>
          <w:tcPr>
            <w:tcW w:w="1632.96" w:type="dxa"/>
            <w:vAlign w:val="center"/>
          </w:tcPr>
          <w:p>
            <w:pPr>
              <w:jc w:val="both"/>
              <w:pStyle w:val="CellColumn"/>
            </w:pPr>
            <w:r>
              <w:rPr>
                <w:rFonts w:hAnsi="Times New Roman" w:cs="Times New Roman"/>
              </w:rPr>
              <w:t xml:space="preserve">34.645.850</w:t>
            </w:r>
          </w:p>
        </w:tc>
        <w:tc>
          <w:tcPr>
            <w:tcW w:w="1632.96" w:type="dxa"/>
            <w:vAlign w:val="center"/>
          </w:tcPr>
          <w:p>
            <w:pPr>
              <w:jc w:val="both"/>
              <w:pStyle w:val="CellColumn"/>
            </w:pPr>
            <w:r>
              <w:rPr>
                <w:rFonts w:hAnsi="Times New Roman" w:cs="Times New Roman"/>
              </w:rPr>
              <w:t xml:space="preserve">33.759.073</w:t>
            </w:r>
          </w:p>
        </w:tc>
        <w:tc>
          <w:tcPr>
            <w:tcW w:w="1632.96" w:type="dxa"/>
            <w:vAlign w:val="center"/>
          </w:tcPr>
          <w:p>
            <w:pPr>
              <w:jc w:val="both"/>
              <w:pStyle w:val="CellColumn"/>
            </w:pPr>
            <w:r>
              <w:rPr>
                <w:rFonts w:hAnsi="Times New Roman" w:cs="Times New Roman"/>
              </w:rPr>
              <w:t xml:space="preserve">40.346.350</w:t>
            </w:r>
          </w:p>
        </w:tc>
        <w:tc>
          <w:tcPr>
            <w:tcW w:w="510.3" w:type="dxa"/>
            <w:vAlign w:val="center"/>
          </w:tcPr>
          <w:p>
            <w:pPr>
              <w:jc w:val="both"/>
              <w:pStyle w:val="CellColumn"/>
            </w:pPr>
            <w:r>
              <w:rPr>
                <w:rFonts w:hAnsi="Times New Roman" w:cs="Times New Roman"/>
              </w:rPr>
              <w:t xml:space="preserve">92,3</w:t>
            </w:r>
          </w:p>
        </w:tc>
      </w:tr>
    </w:tbl>
    <w:p>
      <w:pPr>
        <w:jc w:val="left"/>
      </w:pPr>
      <w:r>
        <w:rPr>
          <w:rFonts w:hAnsi="Times New Roman" w:cs="Times New Roman"/>
        </w:rPr>
        <w:t xml:space="preserve"/>
      </w:r>
    </w:p>
    <w:p>
      <w:pPr>
        <w:jc w:val="both"/>
        <w:pStyle w:val="Normal"/>
      </w:pPr>
      <w:r>
        <w:rPr>
          <w:rFonts w:hAnsi="Times New Roman" w:cs="Times New Roman"/>
        </w:rPr>
        <w:t xml:space="preserve">Ovom aktivnosti osiguravaju se sredstva državnog proračuna nužna za pružanje usluga sigurnosti plovidbe kao što su traganje i spašavanje osoba u pogibelji na moru i unutarnjim vodama, nadzor i upravljanje pomorskim prometom i prometom na unutarnjim vodama, poslovi predviđanja, sprječavanja, ograničavanja, spremnosti za i reagiranje na iznenadna onečišćenja mora, obavljanje inspekcijskog nadzora sigurnosti plovidbe i pomorskog dobra, obavljanje tehničkog nadzora nad pomorskim objektima i plovnim objektima unutarnje plovidbe, provjera osposobljenosti pomoraca, brodaraca i nautičara, izdavanje svjedodžbi i uvjerenja o osposobljenosti, vođenje upisnika i očevidnika pomorskih objekata i plovila unutarnje plovidbe, koje su u izravnoj nadležnosti Republike Hrvatske, odnosno Ministarstva mora, prometa i infrastrukture sukladno međunarodnim i nacionalnim propisima.  
</w:t>
      </w:r>
    </w:p>
    <w:p>
      <w:pPr>
        <w:jc w:val="both"/>
        <w:pStyle w:val="Normal"/>
      </w:pPr>
      <w:r>
        <w:rPr>
          <w:rFonts w:hAnsi="Times New Roman" w:cs="Times New Roman"/>
        </w:rPr>
        <w:t xml:space="preserve">Na aktivnosti su osigurana sredstva za pokriće troškova za zaposlene djelatnike Uprave sigurnosti plovidbe i lučkih kapetanija, sredstva za redovan rad i održavanje flote lučkih kapetanija, sredstva za održavanje sustava za nadzor pomorskog prometa i prometa unutarnjim vodama (VTS i RIS sustavi), održavanja i nadogradnji Informacijskog sustava sigurnosti plovidbe te nabavku automobila i ostale opreme i uređaja koji su potrebi za redovito obavljanje poslova iz nadležnosti Uprave sigurnosti plovidbe.  
</w:t>
      </w:r>
    </w:p>
    <w:p>
      <w:pPr>
        <w:jc w:val="both"/>
        <w:pStyle w:val="Normal"/>
      </w:pPr>
      <w:r>
        <w:rPr>
          <w:rFonts w:hAnsi="Times New Roman" w:cs="Times New Roman"/>
        </w:rPr>
        <w:t xml:space="preserve">Troškovi za zaposlene djelatnike su troškovi plaća i doprinosa, službenih putovanja, naknade za prijevoz, za rad na terenu i odvojeni život, stručnog usavršavanja, odora, zaštitne radne odjeće i obuće i ostalih rashoda za zaposlene koji su planirani u ukupnom iznosu od 16.888.750 EUR, a utvrđeni su uzimajući u obzir troškove 404 trenutno zaposlena djelatnika na neodređeno vrijeme, troškove 32 državna službenika na određeno vrijeme koje se zapošljavaju svake godine u lučkim kapetanijama i ispostavama lučkih kapetanija tijekom turističke sezone zbog povećanog opsega poslova, troškove popune radnih mjesta koja su upražnjena tijekom 2025. godine i zapošljavanja 54 nova djelatnika koji bi trebali početi raditi tijekom 2026. godine sukladno utvrđenim prioritetima zapošljavanja u provedbi ključnih nacionalnih projekata iz nadležnosti Uprave sigurnosti plovidbe (inspektori pomorskog dobra i posade brodica za traganje, spašavanje i hitni medicinski prijevoz) 
</w:t>
      </w:r>
    </w:p>
    <w:p>
      <w:pPr>
        <w:jc w:val="both"/>
        <w:pStyle w:val="Normal"/>
      </w:pPr>
      <w:r>
        <w:rPr>
          <w:rFonts w:hAnsi="Times New Roman" w:cs="Times New Roman"/>
        </w:rPr>
        <w:t xml:space="preserve">Troškovi za redovan rad i održavanje flote koju čine 4 SAR broda, 40 brodica i 10 čamaca lučkih kapetanija obuhvaćaju troškove tekućeg i investicijskog održavanja uključujući i potrošni materijal, dodatnih ulaganja u opremu i uređaje, troškove goriva i ostale manje troškove u ukupnom iznosu od 3.340.000 EUR. Za potrebe upravljanja (troškovi održavanja i posade) školskim brodom Kraljica mora, u 2026. godini osigurana su sredstva u iznosu od 675.000 EUR, a za nabavu i ugradnju tri FLIR kamera sa modifikacijom jarbola na brodice za hitnu pomorsku medicinsku službu i nabavu generatora na školskom brodu Kraljica mora sveukupno dodatnih 400.000 EUR.  
</w:t>
      </w:r>
    </w:p>
    <w:p>
      <w:pPr>
        <w:jc w:val="both"/>
        <w:pStyle w:val="Normal"/>
      </w:pPr>
      <w:r>
        <w:rPr>
          <w:rFonts w:hAnsi="Times New Roman" w:cs="Times New Roman"/>
        </w:rPr>
        <w:t xml:space="preserve">Za potrebe tekućeg i investicijskog održavanja sustava za nadzor pomorskog prometa (VTMIS) i prometa unutarnjim vodama (RIS), kojeg čine 11 radarskih postaja, 6 CCTV kamera, 41 AIS baznih postaja i 63 VHF bazne postaje s pridruženim informacijskim sustavima osigurano je na ovoj aktivnosti u iznosu od 2.990.546,00 EUR, a za telekomunikacijsko povezivanje svih lokacija na kojima su smješteni VTMIS i RIS oprema i uređaji, prostora lučkih kapetanija i ispostava lučkih kapetanija osiguran je iznos od 1.100.000,00 EUR. Za nabavku nove informatičke opreme, licence, održavanje i dogradnje Informacijskog sustava sigurnosti plovidbe osigurano je ukupno 1.940.000 EUR.  
</w:t>
      </w:r>
    </w:p>
    <w:p>
      <w:pPr>
        <w:jc w:val="both"/>
        <w:pStyle w:val="Normal"/>
      </w:pPr>
      <w:r>
        <w:rPr>
          <w:rFonts w:hAnsi="Times New Roman" w:cs="Times New Roman"/>
        </w:rPr>
        <w:t xml:space="preserve">Za redovito godišnje obnavljanje voznog parka lučkih kapetanija planirano je 130.000 EUR.  
</w:t>
      </w:r>
    </w:p>
    <w:p>
      <w:pPr>
        <w:jc w:val="both"/>
        <w:pStyle w:val="Normal"/>
      </w:pPr>
      <w:r>
        <w:rPr>
          <w:rFonts w:hAnsi="Times New Roman" w:cs="Times New Roman"/>
        </w:rPr>
        <w:t xml:space="preserve">Od 65 poslovnih prostora koje koriste Uprava sigurnosti plovidbe i lučke kapetanije 44 prostora su u vlasništvu Republike Hrvatske, a 21 u najmu. U proračunu za 2026. godinu osigurana su sredstva u iznosu 1.300.000 EUR za potrebe kapitalnih ulaganja, a za tekućeg održavanja, nabavku namještaja, opreme i uređaja, zakupnine i najamnine, troškove električne energije i ostale režijske troškove osiguran je iznos od 7.640.000 EUR.  
</w:t>
      </w:r>
    </w:p>
    <w:p>
      <w:pPr>
        <w:jc w:val="both"/>
        <w:pStyle w:val="Normal"/>
      </w:pPr>
      <w:r>
        <w:rPr>
          <w:rFonts w:hAnsi="Times New Roman" w:cs="Times New Roman"/>
        </w:rPr>
        <w:t xml:space="preserve">Na aktivnosti su osigurana i sredstva za plaćanje članarina i normi u nacionalnim i međunarodnim asocijacijama, organizacijama, te institucijama (članstva u IALA, IMRF, PMoU te MedMoU), a za koje obveza članstva proizlazi iz sklopljenih međunarodnih ugovora te zakonskih propisa.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Porast učestalosti inspekcijskih pregleda</w:t>
            </w:r>
          </w:p>
        </w:tc>
        <w:tc>
          <w:tcPr>
            <w:tcW w:w="2245.32" w:type="dxa"/>
            <w:vAlign w:val="center"/>
          </w:tcPr>
          <w:p>
            <w:pPr>
              <w:jc w:val="both"/>
              <w:pStyle w:val="CellColumn"/>
            </w:pPr>
            <w:r>
              <w:rPr>
                <w:rFonts w:hAnsi="Times New Roman" w:cs="Times New Roman"/>
              </w:rPr>
              <w:t xml:space="preserve">Veći broj inspekcijskih pregleda ukazuje na porast nadzora sigurnosti plovidbe od strane inspektora sigurnosti plovidbe i ovlaštenih djelatnika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5341</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&gt;7.500</w:t>
            </w:r>
          </w:p>
        </w:tc>
        <w:tc>
          <w:tcPr>
            <w:tcW w:w="918.54" w:type="dxa"/>
            <w:vAlign w:val="center"/>
          </w:tcPr>
          <w:p>
            <w:pPr>
              <w:jc w:val="both"/>
              <w:pStyle w:val="CellColumn"/>
            </w:pPr>
            <w:r>
              <w:rPr>
                <w:rFonts w:hAnsi="Times New Roman" w:cs="Times New Roman"/>
              </w:rPr>
              <w:t xml:space="preserve">&gt;7.515</w:t>
            </w:r>
          </w:p>
        </w:tc>
        <w:tc>
          <w:tcPr>
            <w:tcW w:w="918.54" w:type="dxa"/>
            <w:vAlign w:val="center"/>
          </w:tcPr>
          <w:p>
            <w:pPr>
              <w:jc w:val="both"/>
              <w:pStyle w:val="CellColumn"/>
            </w:pPr>
            <w:r>
              <w:rPr>
                <w:rFonts w:hAnsi="Times New Roman" w:cs="Times New Roman"/>
              </w:rPr>
              <w:t xml:space="preserve">&gt;7.530</w:t>
            </w:r>
          </w:p>
        </w:tc>
      </w:tr>
      <w:tr>
        <w:trPr>
          <w:cantSplit/>
        </w:trPr>
        <w:tc>
          <w:tcPr>
            <w:tcW w:w="2245.32" w:type="dxa"/>
            <w:vAlign w:val="center"/>
          </w:tcPr>
          <w:p>
            <w:pPr>
              <w:jc w:val="both"/>
              <w:pStyle w:val="CellColumn"/>
            </w:pPr>
            <w:r>
              <w:rPr>
                <w:rFonts w:hAnsi="Times New Roman" w:cs="Times New Roman"/>
              </w:rPr>
              <w:t xml:space="preserve">Smanjenje broja zaustavljanja brodova hrvatske zastave u nacionalnoj plovidbi</w:t>
            </w:r>
          </w:p>
        </w:tc>
        <w:tc>
          <w:tcPr>
            <w:tcW w:w="2245.32" w:type="dxa"/>
            <w:vAlign w:val="center"/>
          </w:tcPr>
          <w:p>
            <w:pPr>
              <w:jc w:val="both"/>
              <w:pStyle w:val="CellColumn"/>
            </w:pPr>
            <w:r>
              <w:rPr>
                <w:rFonts w:hAnsi="Times New Roman" w:cs="Times New Roman"/>
              </w:rPr>
              <w:t xml:space="preserve">Manji broj zaustavljanja pokazatelj je porasta razine poštivanja zakonskih i tehničkih odredbi od strane brodara i vlasnika brodova u nacionalnoj plovidbi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17</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&lt;14</w:t>
            </w:r>
          </w:p>
        </w:tc>
        <w:tc>
          <w:tcPr>
            <w:tcW w:w="918.54" w:type="dxa"/>
            <w:vAlign w:val="center"/>
          </w:tcPr>
          <w:p>
            <w:pPr>
              <w:jc w:val="both"/>
              <w:pStyle w:val="CellColumn"/>
            </w:pPr>
            <w:r>
              <w:rPr>
                <w:rFonts w:hAnsi="Times New Roman" w:cs="Times New Roman"/>
              </w:rPr>
              <w:t xml:space="preserve">&lt;13</w:t>
            </w:r>
          </w:p>
        </w:tc>
        <w:tc>
          <w:tcPr>
            <w:tcW w:w="918.54" w:type="dxa"/>
            <w:vAlign w:val="center"/>
          </w:tcPr>
          <w:p>
            <w:pPr>
              <w:jc w:val="both"/>
              <w:pStyle w:val="CellColumn"/>
            </w:pPr>
            <w:r>
              <w:rPr>
                <w:rFonts w:hAnsi="Times New Roman" w:cs="Times New Roman"/>
              </w:rPr>
              <w:t xml:space="preserve">&lt;12</w:t>
            </w:r>
          </w:p>
        </w:tc>
      </w:tr>
      <w:tr>
        <w:trPr>
          <w:cantSplit/>
        </w:trPr>
        <w:tc>
          <w:tcPr>
            <w:tcW w:w="2245.32" w:type="dxa"/>
            <w:vAlign w:val="center"/>
          </w:tcPr>
          <w:p>
            <w:pPr>
              <w:jc w:val="both"/>
              <w:pStyle w:val="CellColumn"/>
            </w:pPr>
            <w:r>
              <w:rPr>
                <w:rFonts w:hAnsi="Times New Roman" w:cs="Times New Roman"/>
              </w:rPr>
              <w:t xml:space="preserve">Smanjenje onečišćenja mora s pomorskih objekata</w:t>
            </w:r>
          </w:p>
        </w:tc>
        <w:tc>
          <w:tcPr>
            <w:tcW w:w="2245.32" w:type="dxa"/>
            <w:vAlign w:val="center"/>
          </w:tcPr>
          <w:p>
            <w:pPr>
              <w:jc w:val="both"/>
              <w:pStyle w:val="CellColumn"/>
            </w:pPr>
            <w:r>
              <w:rPr>
                <w:rFonts w:hAnsi="Times New Roman" w:cs="Times New Roman"/>
              </w:rPr>
              <w:t xml:space="preserve">Manji broj onečišćenja mora s pomorskih objekata ukazuje na bolju zaštitu morskog okoliša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23</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&lt;21</w:t>
            </w:r>
          </w:p>
        </w:tc>
        <w:tc>
          <w:tcPr>
            <w:tcW w:w="918.54" w:type="dxa"/>
            <w:vAlign w:val="center"/>
          </w:tcPr>
          <w:p>
            <w:pPr>
              <w:jc w:val="both"/>
              <w:pStyle w:val="CellColumn"/>
            </w:pPr>
            <w:r>
              <w:rPr>
                <w:rFonts w:hAnsi="Times New Roman" w:cs="Times New Roman"/>
              </w:rPr>
              <w:t xml:space="preserve">&lt;20</w:t>
            </w:r>
          </w:p>
        </w:tc>
        <w:tc>
          <w:tcPr>
            <w:tcW w:w="918.54" w:type="dxa"/>
            <w:vAlign w:val="center"/>
          </w:tcPr>
          <w:p>
            <w:pPr>
              <w:jc w:val="both"/>
              <w:pStyle w:val="CellColumn"/>
            </w:pPr>
            <w:r>
              <w:rPr>
                <w:rFonts w:hAnsi="Times New Roman" w:cs="Times New Roman"/>
              </w:rPr>
              <w:t xml:space="preserve">&lt;19</w:t>
            </w:r>
          </w:p>
        </w:tc>
      </w:tr>
    </w:tbl>
    <w:p>
      <w:pPr>
        <w:jc w:val="left"/>
      </w:pPr>
      <w:r>
        <w:rPr>
          <w:rFonts w:hAnsi="Times New Roman" w:cs="Times New Roman"/>
        </w:rPr>
        <w:t xml:space="preserve"/>
      </w:r>
    </w:p>
    <w:p>
      <w:pPr>
        <w:jc w:val="left"/>
        <w:pStyle w:val="Heading4"/>
      </w:pPr>
      <w:r>
        <w:rPr>
          <w:rFonts w:hAnsi="Times New Roman" w:cs="Times New Roman"/>
        </w:rPr>
        <w:t xml:space="preserve">A754057 JAČANJE TEHNIČKIH KAPACITETA SREDNJOŠKOLSKIH I VISOKOŠKOLSKIH POMORSKIH I BRODARSKIH UČILIŠTA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članak 132.
</w:t>
      </w:r>
    </w:p>
    <w:p>
      <w:pPr>
        <w:jc w:val="both"/>
        <w:pStyle w:val="Normal5"/>
      </w:pPr>
      <w:r>
        <w:rPr>
          <w:rFonts w:hAnsi="Times New Roman" w:cs="Times New Roman"/>
        </w:rPr>
        <w:t xml:space="preserve">- Zakon o plovidbi i lukama unutarnjih voda, članak 75.
</w:t>
      </w:r>
    </w:p>
    <w:p>
      <w:pPr>
        <w:jc w:val="both"/>
        <w:pStyle w:val="Normal5"/>
      </w:pPr>
      <w:r>
        <w:rPr>
          <w:rFonts w:hAnsi="Times New Roman" w:cs="Times New Roman"/>
        </w:rPr>
        <w:t xml:space="preserve">- Pravilnik o zvanjima i svjedodžbama o osposobljenosti pomoraca, članak 79. i Prilog G2
</w:t>
      </w:r>
    </w:p>
    <w:p>
      <w:pPr>
        <w:jc w:val="both"/>
        <w:pStyle w:val="Normal5"/>
      </w:pPr>
      <w:r>
        <w:rPr>
          <w:rFonts w:hAnsi="Times New Roman" w:cs="Times New Roman"/>
        </w:rPr>
        <w:t xml:space="preserve">- Pravilnik o posadi plovila i plutajućih objekata unutarnje plovidbe, članak 45. i Prilog IV.</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A754057-JAČANJE TEHNIČKIH KAPACITETA SREDNJOŠKOLSKIH I VISOKOŠKOLSKIH POMORSKIH I BRODARSKIH UČILIŠTA</w:t>
            </w:r>
          </w:p>
        </w:tc>
        <w:tc>
          <w:tcPr>
            <w:tcW w:w="1632.96" w:type="dxa"/>
            <w:vAlign w:val="center"/>
          </w:tcPr>
          <w:p>
            <w:pPr>
              <w:jc w:val="both"/>
              <w:pStyle w:val="CellColumn"/>
            </w:pPr>
            <w:r>
              <w:rPr>
                <w:rFonts w:hAnsi="Times New Roman" w:cs="Times New Roman"/>
              </w:rPr>
              <w:t xml:space="preserve">569.240</w:t>
            </w:r>
          </w:p>
        </w:tc>
        <w:tc>
          <w:tcPr>
            <w:tcW w:w="1632.96" w:type="dxa"/>
            <w:vAlign w:val="center"/>
          </w:tcPr>
          <w:p>
            <w:pPr>
              <w:jc w:val="both"/>
              <w:pStyle w:val="CellColumn"/>
            </w:pPr>
            <w:r>
              <w:rPr>
                <w:rFonts w:hAnsi="Times New Roman" w:cs="Times New Roman"/>
              </w:rPr>
              <w:t xml:space="preserve">894.000</w:t>
            </w:r>
          </w:p>
        </w:tc>
        <w:tc>
          <w:tcPr>
            <w:tcW w:w="1632.96" w:type="dxa"/>
            <w:vAlign w:val="center"/>
          </w:tcPr>
          <w:p>
            <w:pPr>
              <w:jc w:val="both"/>
              <w:pStyle w:val="CellColumn"/>
            </w:pPr>
            <w:r>
              <w:rPr>
                <w:rFonts w:hAnsi="Times New Roman" w:cs="Times New Roman"/>
              </w:rPr>
              <w:t xml:space="preserve">2.300.000</w:t>
            </w:r>
          </w:p>
        </w:tc>
        <w:tc>
          <w:tcPr>
            <w:tcW w:w="1632.96" w:type="dxa"/>
            <w:vAlign w:val="center"/>
          </w:tcPr>
          <w:p>
            <w:pPr>
              <w:jc w:val="both"/>
              <w:pStyle w:val="CellColumn"/>
            </w:pPr>
            <w:r>
              <w:rPr>
                <w:rFonts w:hAnsi="Times New Roman" w:cs="Times New Roman"/>
              </w:rPr>
              <w:t xml:space="preserve">5.270.000</w:t>
            </w:r>
          </w:p>
        </w:tc>
        <w:tc>
          <w:tcPr>
            <w:tcW w:w="1632.96" w:type="dxa"/>
            <w:vAlign w:val="center"/>
          </w:tcPr>
          <w:p>
            <w:pPr>
              <w:jc w:val="both"/>
              <w:pStyle w:val="CellColumn"/>
            </w:pPr>
            <w:r>
              <w:rPr>
                <w:rFonts w:hAnsi="Times New Roman" w:cs="Times New Roman"/>
              </w:rPr>
              <w:t xml:space="preserve">2.270.000</w:t>
            </w:r>
          </w:p>
        </w:tc>
        <w:tc>
          <w:tcPr>
            <w:tcW w:w="510.3" w:type="dxa"/>
            <w:vAlign w:val="center"/>
          </w:tcPr>
          <w:p>
            <w:pPr>
              <w:jc w:val="both"/>
              <w:pStyle w:val="CellColumn"/>
            </w:pPr>
            <w:r>
              <w:rPr>
                <w:rFonts w:hAnsi="Times New Roman" w:cs="Times New Roman"/>
              </w:rPr>
              <w:t xml:space="preserve">257,3</w:t>
            </w:r>
          </w:p>
        </w:tc>
      </w:tr>
    </w:tbl>
    <w:p>
      <w:pPr>
        <w:jc w:val="left"/>
      </w:pPr>
      <w:r>
        <w:rPr>
          <w:rFonts w:hAnsi="Times New Roman" w:cs="Times New Roman"/>
        </w:rPr>
        <w:t xml:space="preserve"/>
      </w:r>
    </w:p>
    <w:p>
      <w:pPr>
        <w:jc w:val="both"/>
        <w:pStyle w:val="Normal"/>
      </w:pPr>
      <w:r>
        <w:rPr>
          <w:rFonts w:hAnsi="Times New Roman" w:cs="Times New Roman"/>
        </w:rPr>
        <w:t xml:space="preserve">Međunarodnom konvencijom o standardima izobrazbe, izdavanju svjedodžbi i držanju straže pomoraca (STCW) 1978, propisani i specifični uvjeti u pogledu tehničke i materijalne opremljenosti kojima moraju udovoljiti učilišta ovlaštena za provedbu programa obrazovanja i/ili izobrazbe pomoraca. Sredstva na ovoj aktivnosti koristit će se za opremanje srednjoškolskih pomorskih učilišta u vlasništvu područne (regionalne) samouprave obveznom opremom u skladu sa odredbama STCW Konvencije 1978, kako je izmijenjena i dopunjena, te nacionalnih propisa kojim su implementirani sadržaji iste.  
</w:t>
      </w:r>
    </w:p>
    <w:p>
      <w:pPr>
        <w:jc w:val="both"/>
        <w:pStyle w:val="Normal"/>
      </w:pPr>
      <w:r>
        <w:rPr>
          <w:rFonts w:hAnsi="Times New Roman" w:cs="Times New Roman"/>
        </w:rPr>
        <w:t xml:space="preserve">Pravnom stečevinom EU i to u prvom redu odredbama Direktive (EU) 2017/2397 Europskog parlamenta i Vijeća od 12. prosinca 2017. o priznavanju stručnih kvalifikacija u unutarnjoj plovidbi i stavljanju izvan snage direktiva Vijeća 91/672/EEZ i 96/50/EZ (Tekst značajan za EGP) (SL L 345, 27. 12. 2017.), Delegirane direktive Komisije (EU) 2020/12 od 2. kolovoza 2019. o dopuni Direktive (EU) 2017/2397 Europskog parlamenta i Vijeća s obzirom na standarde za kompetencije i odgovarajuća znanja i vještine, za praktične ispite, za odobravanje simulatora i za zdravstvenu sposobnost (Tekst značajan za EGP) (SL L 6, 10. 1.2020.), te Direktive (EU) 2021/1233 Europskog parlamenta i Vijeća od 14. srpnja 2021. o izmjeni Direktive (EU) 2017/2397 u pogledu prijelaznih mjera za priznavanje svjedodžbi trećih zemalja (Tekst značajan za EGP) (SL L 274, 30. 7. 2021.) propisani su specifični uvjeti u pogledu tehničke i materijale opremljenosti kojima moraju udovoljiti brodarska učilišta ovlaštena za provedbu programa obrazovanja brodaraca. Sredstva na ovoj aktivnosti koristit će se za opremanje srednjoškolskih brodarskih učilišta u vlasništvu područne (regionalne) samouprave obveznom opremom u skladu sa odredbama navedenih EU standarda, te nacionalnih propisa kojim su implementirani sadržaji istih.  
</w:t>
      </w:r>
    </w:p>
    <w:p>
      <w:pPr>
        <w:jc w:val="both"/>
        <w:pStyle w:val="Normal"/>
      </w:pPr>
      <w:r>
        <w:rPr>
          <w:rFonts w:hAnsi="Times New Roman" w:cs="Times New Roman"/>
        </w:rPr>
        <w:t xml:space="preserve">Aktivnost se provodi svake proračunske godine počevši od 2018. godine, a procjena potrebnih sredstava urađena je temeljem prikupljenih podataka o potrebama za nabavkom i nadogradnjom opreme srednjoškolskih pomorskih i brodarskih učilišta, prosječnih tržišnih vrijednosti nabave i stavljanja u funkciju opreme, a sve sa ciljem da se godišnje svaka srednja pomorska i brodarska škola opremi barem jednim odgovarajućim simulatorom i/ili nekim drugim potrebnim uređajem.</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Opremljenost srednjoškolskih pomorskih učilišta sukladno zadnjim zahtjevima izmijenjene i dopunjene STCW Konvencije</w:t>
            </w:r>
          </w:p>
        </w:tc>
        <w:tc>
          <w:tcPr>
            <w:tcW w:w="2245.32" w:type="dxa"/>
            <w:vAlign w:val="center"/>
          </w:tcPr>
          <w:p>
            <w:pPr>
              <w:jc w:val="both"/>
              <w:pStyle w:val="CellColumn"/>
            </w:pPr>
            <w:r>
              <w:rPr>
                <w:rFonts w:hAnsi="Times New Roman" w:cs="Times New Roman"/>
              </w:rPr>
              <w:t xml:space="preserve">Za potrebe obavljanja obrazovanja učenika, srednjoškolska pomorska učilišta u vlasništvu područne (regionalne) samouprave opremit će se obveznom opremom (npr. simulatorima) u skladu sa odredbama STCW Konvencije
</w:t>
            </w:r>
          </w:p>
          <w:p>
            <w:pPr>
              <w:jc w:val="both"/>
              <w:pStyle w:val="CellColumn"/>
            </w:pPr>
            <w:r>
              <w:rPr>
                <w:rFonts w:hAnsi="Times New Roman" w:cs="Times New Roman"/>
              </w:rPr>
              <w:t xml:space="preserve">Za potrebe obavljanja obrazovanja učenika u dijelu unutarnje plovidbe, brodarske škole u vlasništvu područne (regionalne) samouprave opremit će se obveznom opremom (npr. simulatorima) u skladu sa standardima koji proizlaze iz pravne stečevine EU</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40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53</w:t>
            </w:r>
          </w:p>
        </w:tc>
        <w:tc>
          <w:tcPr>
            <w:tcW w:w="918.54" w:type="dxa"/>
            <w:vAlign w:val="center"/>
          </w:tcPr>
          <w:p>
            <w:pPr>
              <w:jc w:val="both"/>
              <w:pStyle w:val="CellColumn"/>
            </w:pPr>
            <w:r>
              <w:rPr>
                <w:rFonts w:hAnsi="Times New Roman" w:cs="Times New Roman"/>
              </w:rPr>
              <w:t xml:space="preserve">58</w:t>
            </w:r>
          </w:p>
        </w:tc>
        <w:tc>
          <w:tcPr>
            <w:tcW w:w="918.54" w:type="dxa"/>
            <w:vAlign w:val="center"/>
          </w:tcPr>
          <w:p>
            <w:pPr>
              <w:jc w:val="both"/>
              <w:pStyle w:val="CellColumn"/>
            </w:pPr>
            <w:r>
              <w:rPr>
                <w:rFonts w:hAnsi="Times New Roman" w:cs="Times New Roman"/>
              </w:rPr>
              <w:t xml:space="preserve">63</w:t>
            </w:r>
          </w:p>
        </w:tc>
      </w:tr>
    </w:tbl>
    <w:p>
      <w:pPr>
        <w:jc w:val="left"/>
      </w:pPr>
      <w:r>
        <w:rPr>
          <w:rFonts w:hAnsi="Times New Roman" w:cs="Times New Roman"/>
        </w:rPr>
        <w:t xml:space="preserve"/>
      </w:r>
    </w:p>
    <w:p>
      <w:pPr>
        <w:jc w:val="left"/>
        <w:pStyle w:val="Heading4"/>
      </w:pPr>
      <w:r>
        <w:rPr>
          <w:rFonts w:hAnsi="Times New Roman" w:cs="Times New Roman"/>
        </w:rPr>
        <w:t xml:space="preserve">A754063 ODRŽAVANJE MREŽE PLOVILA-ČISTAČA ZA DJELOVANJE KOD IZNENADNIH ONEČIŠĆENJA MORA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članak 49.h, članak 55.f i članak 55.h
</w:t>
      </w:r>
    </w:p>
    <w:p>
      <w:pPr>
        <w:jc w:val="both"/>
        <w:pStyle w:val="Normal5"/>
      </w:pPr>
      <w:r>
        <w:rPr>
          <w:rFonts w:hAnsi="Times New Roman" w:cs="Times New Roman"/>
        </w:rPr>
        <w:t xml:space="preserve">- Plan intervencija kod iznenadnih onečišćenja mora, točke: 31., 35., 40. i 108.
</w:t>
      </w:r>
    </w:p>
    <w:p>
      <w:pPr>
        <w:jc w:val="both"/>
        <w:pStyle w:val="Normal5"/>
      </w:pPr>
      <w:r>
        <w:rPr>
          <w:rFonts w:hAnsi="Times New Roman" w:cs="Times New Roman"/>
        </w:rPr>
        <w:t xml:space="preserve">- Odluka Vlade RH o sufinanciranju održavanja mreže plovila čistača mora za djelovanje kod iznenadnih onečišćenja mora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A754063-ODRŽAVANJE MREŽE PLOVILA-ČISTAČA ZA DJELOVANJE KOD IZNENADNIH ONEČIŠĆENJA MORA</w:t>
            </w:r>
          </w:p>
        </w:tc>
        <w:tc>
          <w:tcPr>
            <w:tcW w:w="1632.96" w:type="dxa"/>
            <w:vAlign w:val="center"/>
          </w:tcPr>
          <w:p>
            <w:pPr>
              <w:jc w:val="both"/>
              <w:pStyle w:val="CellColumn"/>
            </w:pPr>
            <w:r>
              <w:rPr>
                <w:rFonts w:hAnsi="Times New Roman" w:cs="Times New Roman"/>
              </w:rPr>
              <w:t xml:space="preserve">305.262</w:t>
            </w:r>
          </w:p>
        </w:tc>
        <w:tc>
          <w:tcPr>
            <w:tcW w:w="1632.96" w:type="dxa"/>
            <w:vAlign w:val="center"/>
          </w:tcPr>
          <w:p>
            <w:pPr>
              <w:jc w:val="both"/>
              <w:pStyle w:val="CellColumn"/>
            </w:pPr>
            <w:r>
              <w:rPr>
                <w:rFonts w:hAnsi="Times New Roman" w:cs="Times New Roman"/>
              </w:rPr>
              <w:t xml:space="preserve">305.262</w:t>
            </w:r>
          </w:p>
        </w:tc>
        <w:tc>
          <w:tcPr>
            <w:tcW w:w="1632.96" w:type="dxa"/>
            <w:vAlign w:val="center"/>
          </w:tcPr>
          <w:p>
            <w:pPr>
              <w:jc w:val="both"/>
              <w:pStyle w:val="CellColumn"/>
            </w:pPr>
            <w:r>
              <w:rPr>
                <w:rFonts w:hAnsi="Times New Roman" w:cs="Times New Roman"/>
              </w:rPr>
              <w:t xml:space="preserve">305.262</w:t>
            </w:r>
          </w:p>
        </w:tc>
        <w:tc>
          <w:tcPr>
            <w:tcW w:w="1632.96" w:type="dxa"/>
            <w:vAlign w:val="center"/>
          </w:tcPr>
          <w:p>
            <w:pPr>
              <w:jc w:val="both"/>
              <w:pStyle w:val="CellColumn"/>
            </w:pPr>
            <w:r>
              <w:rPr>
                <w:rFonts w:hAnsi="Times New Roman" w:cs="Times New Roman"/>
              </w:rPr>
              <w:t xml:space="preserve">305.262</w:t>
            </w:r>
          </w:p>
        </w:tc>
        <w:tc>
          <w:tcPr>
            <w:tcW w:w="1632.96" w:type="dxa"/>
            <w:vAlign w:val="center"/>
          </w:tcPr>
          <w:p>
            <w:pPr>
              <w:jc w:val="both"/>
              <w:pStyle w:val="CellColumn"/>
            </w:pPr>
            <w:r>
              <w:rPr>
                <w:rFonts w:hAnsi="Times New Roman" w:cs="Times New Roman"/>
              </w:rPr>
              <w:t xml:space="preserve">305.262</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Sredstva za izvršenje aktivnosti namijenjena su za sufinanciranje održavanja mreže plovila čistača mora raspoređenih duž Jadranske obale kao preduvjeta učinkovite zaštite morskog okoliša i obalnog područja od iznenadnih onečišćenja mora s pomorskih objekata, odnosno za provedbu mjera za smanjenje šteta u morskom okolišu i obalnom području, zaštitu ljudskog zdravlja, te sprječavanje ometanje pomorske djelatnosti i drugih zakonitih uporaba mora i podmorja u slučajevima iznenadnih onečišćenja mora s pomorskih objekata.  
</w:t>
      </w:r>
    </w:p>
    <w:p>
      <w:pPr>
        <w:jc w:val="both"/>
        <w:pStyle w:val="Normal"/>
      </w:pPr>
      <w:r>
        <w:rPr>
          <w:rFonts w:hAnsi="Times New Roman" w:cs="Times New Roman"/>
        </w:rPr>
        <w:t xml:space="preserve">Odlukom Vlade Republike Hrvatske KLASA: 022-03/19-04/133; URBROJ: 50301-27/25-13-3 od 18. travnja 2019. godine o sufinanciranju održavanja mreže plovila čistača mora za djelovanje kod iznenadnih onečišćenja mora, Vlada Republike Hrvatske se obvezala sufinancirati troškove održavanja mreže od ukupno 10 plovila čistača mora, raspoređenih duž hrvatske obale u iznosu od 30.526 eura po plovilu čistaču mora godišnje, odnosno ukupno 305.262 eura godišnje za cijelu mrežu plovila.  
</w:t>
      </w:r>
    </w:p>
    <w:p>
      <w:pPr>
        <w:jc w:val="both"/>
        <w:pStyle w:val="Normal"/>
      </w:pPr>
      <w:r>
        <w:rPr>
          <w:rFonts w:hAnsi="Times New Roman" w:cs="Times New Roman"/>
        </w:rPr>
        <w:t xml:space="preserve">Mreža plovila čistača mora sastoji se od 5 plovila tipa ECO-13, koje je Ministarstvo zaštite okoliša, prostornog uređenja i graditeljstva temeljem Odluke Vlade Republike Hrvatske KLASA: 342,01/07-01/03; URBROJ: 5030114¬07-1 od 15. lipnja 2007. godine predalo u vlasništvo Dubrovačko-neretvanske, Šibensko-kninske, Zadarske i Ličko- senjske, Primorsko-goranske te Splitsko-dalmatinske županije. Preostalih 5 plovila čistača mora su u naravi komercijalna specijalizirana plovila, čiju uslugu rada (čišćenja mora) županije ugovaraju u postupku javne nabave, a sufinanciraju se prema raspodjeli: u Istarskoj županiji održavanje 1 plovila, u Primorsko-goranskoj županiji 2 plovila, u Splitsko-dalmatinskoj 1 plovila, te u Dubrovačko-neretvanskoj županiji 1 plovila.  
</w:t>
      </w:r>
    </w:p>
    <w:p>
      <w:pPr>
        <w:jc w:val="both"/>
        <w:pStyle w:val="Normal"/>
      </w:pPr>
      <w:r>
        <w:rPr>
          <w:rFonts w:hAnsi="Times New Roman" w:cs="Times New Roman"/>
        </w:rPr>
        <w:t xml:space="preserve">Navedenom Odlukom utvrđeno je da se navedena financijska sredstva od 2019. godine osiguravaju na razdjelu Ministarstva mora, prometa i infrastrukture. Temeljem iste Odluke Ministarstvo mora, prometa i infrastrukture sklopilo je s priobalnim županijama odgovarajuće ugovore koji je uređeno sufinanciranje plovila čistača mora, s ciljem osiguranja stalne pripravnosti brodova i brodica čistača mora za slučaj potrebe reagiranja po Planu intervencija kod iznenadnih onečišćenja mora na području unutarnjih morskih voda i teritorijalnog mora.   
</w:t>
      </w:r>
    </w:p>
    <w:p>
      <w:pPr>
        <w:jc w:val="both"/>
        <w:pStyle w:val="Normal"/>
      </w:pPr>
      <w:r>
        <w:rPr>
          <w:rFonts w:hAnsi="Times New Roman" w:cs="Times New Roman"/>
        </w:rPr>
        <w:t xml:space="preserve">Temeljem navedenog, Ministarstvo mora, prometa i infrastrukture izvršava isplate financijskih sredstava svim priobalnim županijama na koje se odnosi predmetna Odluka Vlade Republike Hrvatske, i to u iznosu od 30.526 eura po plovilu čistaču mora, odnosno u ukupnom iznosu od 305.262 eura/godišnje za cijelu mrežu plovila čistača mora.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Pravodobno reagiranje na iznenadna onečišćenja mora s pomorskih objekata te ograničavanje šteta u morskom okolišu i gospodarstvu, radi dostupnosti specijaliziranih plovila (brodova ili brodica) za provedbu mjera suzbijanja onečišćenja mora</w:t>
            </w:r>
          </w:p>
        </w:tc>
        <w:tc>
          <w:tcPr>
            <w:tcW w:w="2245.32" w:type="dxa"/>
            <w:vAlign w:val="center"/>
          </w:tcPr>
          <w:p>
            <w:pPr>
              <w:jc w:val="both"/>
              <w:pStyle w:val="CellColumn"/>
            </w:pPr>
            <w:r>
              <w:rPr>
                <w:rFonts w:hAnsi="Times New Roman" w:cs="Times New Roman"/>
              </w:rPr>
              <w:t xml:space="preserve">Ugovaranje korištenja deset (10) specijaliziranih brodova i brodica čistača mora s posadom i opremom za suzbijanje onečišćenja mora, radi provedbe Plana intervencija kod iznenadnih onečišćenja mora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10</w:t>
            </w:r>
          </w:p>
        </w:tc>
      </w:tr>
    </w:tbl>
    <w:p>
      <w:pPr>
        <w:jc w:val="left"/>
      </w:pPr>
      <w:r>
        <w:rPr>
          <w:rFonts w:hAnsi="Times New Roman" w:cs="Times New Roman"/>
        </w:rPr>
        <w:t xml:space="preserve"/>
      </w:r>
    </w:p>
    <w:p>
      <w:pPr>
        <w:jc w:val="left"/>
        <w:pStyle w:val="Heading4"/>
      </w:pPr>
      <w:r>
        <w:rPr>
          <w:rFonts w:hAnsi="Times New Roman" w:cs="Times New Roman"/>
        </w:rPr>
        <w:t xml:space="preserve">A754065 UKLANJANJE PODRTINA I POTONULIH STVARI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članak 840. n i 840. s
</w:t>
      </w:r>
    </w:p>
    <w:p>
      <w:pPr>
        <w:jc w:val="both"/>
        <w:pStyle w:val="Normal5"/>
      </w:pPr>
      <w:r>
        <w:rPr>
          <w:rFonts w:hAnsi="Times New Roman" w:cs="Times New Roman"/>
        </w:rPr>
        <w:t xml:space="preserve">- Plan intervencija kod iznenadnih onečišćenja mora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A754065-UKLANJANJE PODRTINA I POTONULIH STVARI</w:t>
            </w:r>
          </w:p>
        </w:tc>
        <w:tc>
          <w:tcPr>
            <w:tcW w:w="1632.96" w:type="dxa"/>
            <w:vAlign w:val="center"/>
          </w:tcPr>
          <w:p>
            <w:pPr>
              <w:jc w:val="both"/>
              <w:pStyle w:val="CellColumn"/>
            </w:pPr>
            <w:r>
              <w:rPr>
                <w:rFonts w:hAnsi="Times New Roman" w:cs="Times New Roman"/>
              </w:rPr>
              <w:t xml:space="preserve">44.607</w:t>
            </w:r>
          </w:p>
        </w:tc>
        <w:tc>
          <w:tcPr>
            <w:tcW w:w="1632.96" w:type="dxa"/>
            <w:vAlign w:val="center"/>
          </w:tcPr>
          <w:p>
            <w:pPr>
              <w:jc w:val="both"/>
              <w:pStyle w:val="CellColumn"/>
            </w:pPr>
            <w:r>
              <w:rPr>
                <w:rFonts w:hAnsi="Times New Roman" w:cs="Times New Roman"/>
              </w:rPr>
              <w:t xml:space="preserve">67.361</w:t>
            </w:r>
          </w:p>
        </w:tc>
        <w:tc>
          <w:tcPr>
            <w:tcW w:w="1632.96" w:type="dxa"/>
            <w:vAlign w:val="center"/>
          </w:tcPr>
          <w:p>
            <w:pPr>
              <w:jc w:val="both"/>
              <w:pStyle w:val="CellColumn"/>
            </w:pPr>
            <w:r>
              <w:rPr>
                <w:rFonts w:hAnsi="Times New Roman" w:cs="Times New Roman"/>
              </w:rPr>
              <w:t xml:space="preserve">66.361</w:t>
            </w:r>
          </w:p>
        </w:tc>
        <w:tc>
          <w:tcPr>
            <w:tcW w:w="1632.96" w:type="dxa"/>
            <w:vAlign w:val="center"/>
          </w:tcPr>
          <w:p>
            <w:pPr>
              <w:jc w:val="both"/>
              <w:pStyle w:val="CellColumn"/>
            </w:pPr>
            <w:r>
              <w:rPr>
                <w:rFonts w:hAnsi="Times New Roman" w:cs="Times New Roman"/>
              </w:rPr>
              <w:t xml:space="preserve">66.361</w:t>
            </w:r>
          </w:p>
        </w:tc>
        <w:tc>
          <w:tcPr>
            <w:tcW w:w="1632.96" w:type="dxa"/>
            <w:vAlign w:val="center"/>
          </w:tcPr>
          <w:p>
            <w:pPr>
              <w:jc w:val="both"/>
              <w:pStyle w:val="CellColumn"/>
            </w:pPr>
            <w:r>
              <w:rPr>
                <w:rFonts w:hAnsi="Times New Roman" w:cs="Times New Roman"/>
              </w:rPr>
              <w:t xml:space="preserve">66.361</w:t>
            </w:r>
          </w:p>
        </w:tc>
        <w:tc>
          <w:tcPr>
            <w:tcW w:w="510.3" w:type="dxa"/>
            <w:vAlign w:val="center"/>
          </w:tcPr>
          <w:p>
            <w:pPr>
              <w:jc w:val="both"/>
              <w:pStyle w:val="CellColumn"/>
            </w:pPr>
            <w:r>
              <w:rPr>
                <w:rFonts w:hAnsi="Times New Roman" w:cs="Times New Roman"/>
              </w:rPr>
              <w:t xml:space="preserve">98,5</w:t>
            </w:r>
          </w:p>
        </w:tc>
      </w:tr>
    </w:tbl>
    <w:p>
      <w:pPr>
        <w:jc w:val="left"/>
      </w:pPr>
      <w:r>
        <w:rPr>
          <w:rFonts w:hAnsi="Times New Roman" w:cs="Times New Roman"/>
        </w:rPr>
        <w:t xml:space="preserve"/>
      </w:r>
    </w:p>
    <w:p>
      <w:pPr>
        <w:jc w:val="both"/>
        <w:pStyle w:val="Normal"/>
      </w:pPr>
      <w:r>
        <w:rPr>
          <w:rFonts w:hAnsi="Times New Roman" w:cs="Times New Roman"/>
        </w:rPr>
        <w:t xml:space="preserve">Sredstva za provedbu ove aktivnosti namijenjena su financiranju vađenja podrtina i potonulih stvari koje se nalaze u teritorijalnom moru i unutarnjim morskim vodama, te za uklanjanje podrtina i potonulih stvari koje se nalaze u teritorijalnom moru, unutarnjim morskim vodama, te na području isključivog gospodarskog pojasa Republike Hrvatske i epikontinentalnog pojasa Republike Hrvatske.  
</w:t>
      </w:r>
    </w:p>
    <w:p>
      <w:pPr>
        <w:jc w:val="both"/>
        <w:pStyle w:val="Normal"/>
      </w:pPr>
      <w:r>
        <w:rPr>
          <w:rFonts w:hAnsi="Times New Roman" w:cs="Times New Roman"/>
        </w:rPr>
        <w:t xml:space="preserve">Podrtine i potonule stvari predstavljaju izravnu prijetnju sigurnosti plovidbe, te su ujedno i mogući izvor onečišćenja morskog okoliša i priobalnog područja, koja mogu imati dalekosežne posljedice za sigurnost i zdravlje ljudi te morski okoliš. 
</w:t>
      </w:r>
    </w:p>
    <w:p>
      <w:pPr>
        <w:jc w:val="both"/>
        <w:pStyle w:val="Normal"/>
      </w:pPr>
      <w:r>
        <w:rPr>
          <w:rFonts w:hAnsi="Times New Roman" w:cs="Times New Roman"/>
        </w:rPr>
        <w:t xml:space="preserve">Člankom 50. stavak 3. Pomorskog zakonika utvrđeni su poslovi od javnog interesa koje u unutarnjim morskim vodama i teritorijalnom moru osigurava Republika Hrvatska, između kojih su i poslovi uređivanja i održavanja plovnih putova. Stavkom 3. istog članka propisano je da poslove uređivanja i održavanja plovnih putova obavlja trgovačko društvo Plovput d.o.o. kao javnu ovlast. Člankom 840.n stavkom 9. Pomorskog zakonika propisano je da je u slučajevima iz stavka 6. i 7. istog članka tijelo ovlašteno za uklanjanje podrtine trgovačko društvo Plovput d.o.o za podrtine koje se nalaze izvan lučkog područja, dok je stavkom 10. istog članka propisano da sredstva za uklanjanje podrtina temeljem stavka 6. i 7. istog članka osigurava tijelo ovlašteno za uklanjanje, osim kada je riječ o trgovačkom društvu Plovput d.o.o. u kojem slučaju se sredstva osiguravaju u državnom proračunu, što ne utječe na odgovornost vlasnika za sve troškove u vezi s uklanjanjem podrtine temeljem članka 840.nj. Pomorskog zakonika.   
</w:t>
      </w:r>
    </w:p>
    <w:p>
      <w:pPr>
        <w:jc w:val="both"/>
        <w:pStyle w:val="Normal"/>
      </w:pPr>
      <w:r>
        <w:rPr>
          <w:rFonts w:hAnsi="Times New Roman" w:cs="Times New Roman"/>
        </w:rPr>
        <w:t xml:space="preserve">Člankom 840.s stavkom 7. određeno je da je tijelo ovlašteno za uklanjanje potonule stvari iz stavka 4. istog članka trgovačko društvo Plovput d. o. o. za potonule stvari koje se nalaze izvan lučkog područja, dok je stavkom 8. istog članka određeno da sredstva za uklanjanje temeljem stavaka 4., 5. ili 6. istog članka osigurava tijelo ovlašteno za uklanjanje, osim kad je riječ o trgovačkom društvu Plovput d. o. o. u kojem slučaju se sredstva osiguravaju u državnom proračunu, što ne utječe na obvezu vlasnika da naknadi sve troškove u vezi s uklanjanjem za koje odgovara sukladno članku 840.t ovoga Zakonika. Na istoj aktivnosti predviđena su i financijska sredstva za suzbijanje onečišćenja mora s podrtina, u slučaju da zahtjev za refundaciju podnese nadležna priobalna županija te ukoliko financiranje temeljem Plana intervencija kod iznenadnih onečišćenja mora tereti Državni proračun RH.</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provedenih inspekcijskih rješenja o uklanjanju podrtina i potonulih stvari koje predstavljaju zapreku i ugrozu za sigurnost plovidbe</w:t>
            </w:r>
          </w:p>
        </w:tc>
        <w:tc>
          <w:tcPr>
            <w:tcW w:w="2245.32" w:type="dxa"/>
            <w:vAlign w:val="center"/>
          </w:tcPr>
          <w:p>
            <w:pPr>
              <w:jc w:val="both"/>
              <w:pStyle w:val="CellColumn"/>
            </w:pPr>
            <w:r>
              <w:rPr>
                <w:rFonts w:hAnsi="Times New Roman" w:cs="Times New Roman"/>
              </w:rPr>
              <w:t xml:space="preserve">Podizanje razine sigurnosti plovidbe plovnim putevima u unutarnjim morskim vodama, teritorijalnom moru i gospodarskom pojasu Republike Hrvatske u podmorju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r>
    </w:tbl>
    <w:p>
      <w:pPr>
        <w:jc w:val="left"/>
      </w:pPr>
      <w:r>
        <w:rPr>
          <w:rFonts w:hAnsi="Times New Roman" w:cs="Times New Roman"/>
        </w:rPr>
        <w:t xml:space="preserve"/>
      </w:r>
    </w:p>
    <w:p>
      <w:pPr>
        <w:jc w:val="left"/>
        <w:pStyle w:val="Heading4"/>
      </w:pPr>
      <w:r>
        <w:rPr>
          <w:rFonts w:hAnsi="Times New Roman" w:cs="Times New Roman"/>
        </w:rPr>
        <w:t xml:space="preserve">K819082 CEF 2014.-2020. - RIS COMEX 2 - PRIMJENA RIS-a U UPRAVLJANJU PROMETNIM KORIDORIMA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uspostavi institucionalnog okvira za provedbu europskih strukturnih i investicijskih fondova u Republici Hrvatskoj u financijskom razdoblju 2014.-2020., članak 4., stavak 2. 
</w:t>
      </w:r>
    </w:p>
    <w:p>
      <w:pPr>
        <w:jc w:val="both"/>
        <w:pStyle w:val="Normal5"/>
      </w:pPr>
      <w:r>
        <w:rPr>
          <w:rFonts w:hAnsi="Times New Roman" w:cs="Times New Roman"/>
        </w:rPr>
        <w:t xml:space="preserve">- Zakon o plovidbi i lukama unutarnjih voda, članak 113., stavak 2. i članak 172. 
</w:t>
      </w:r>
    </w:p>
    <w:p>
      <w:pPr>
        <w:jc w:val="both"/>
        <w:pStyle w:val="Normal5"/>
      </w:pPr>
      <w:r>
        <w:rPr>
          <w:rFonts w:hAnsi="Times New Roman" w:cs="Times New Roman"/>
        </w:rPr>
        <w:t xml:space="preserve">- Pravilnik o riječnim informacijskim servisima u unutarnjoj plovidbi 
</w:t>
      </w:r>
    </w:p>
    <w:p>
      <w:pPr>
        <w:jc w:val="both"/>
        <w:pStyle w:val="Normal5"/>
      </w:pPr>
      <w:r>
        <w:rPr>
          <w:rFonts w:hAnsi="Times New Roman" w:cs="Times New Roman"/>
        </w:rPr>
        <w:t xml:space="preserve">- Direktiva 2005/44/EZ (RIS direktiva).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K819082-CEF 2014.-2020. - RIS COMEX 2 - PRIMJENA RIS-a U UPRAVLJANJU PROMETNIM KORIDORIMA</w:t>
            </w:r>
          </w:p>
        </w:tc>
        <w:tc>
          <w:tcPr>
            <w:tcW w:w="1632.96" w:type="dxa"/>
            <w:vAlign w:val="center"/>
          </w:tcPr>
          <w:p>
            <w:pPr>
              <w:jc w:val="both"/>
              <w:pStyle w:val="CellColumn"/>
            </w:pPr>
            <w:r>
              <w:rPr>
                <w:rFonts w:hAnsi="Times New Roman" w:cs="Times New Roman"/>
              </w:rPr>
              <w:t xml:space="preserve">213.150</w:t>
            </w:r>
          </w:p>
        </w:tc>
        <w:tc>
          <w:tcPr>
            <w:tcW w:w="1632.96" w:type="dxa"/>
            <w:vAlign w:val="center"/>
          </w:tcPr>
          <w:p>
            <w:pPr>
              <w:jc w:val="both"/>
              <w:pStyle w:val="CellColumn"/>
            </w:pPr>
            <w:r>
              <w:rPr>
                <w:rFonts w:hAnsi="Times New Roman" w:cs="Times New Roman"/>
              </w:rPr>
              <w:t xml:space="preserve">1.646.050</w:t>
            </w:r>
          </w:p>
        </w:tc>
        <w:tc>
          <w:tcPr>
            <w:tcW w:w="1632.96" w:type="dxa"/>
            <w:vAlign w:val="center"/>
          </w:tcPr>
          <w:p>
            <w:pPr>
              <w:jc w:val="both"/>
              <w:pStyle w:val="CellColumn"/>
            </w:pPr>
            <w:r>
              <w:rPr>
                <w:rFonts w:hAnsi="Times New Roman" w:cs="Times New Roman"/>
              </w:rPr>
              <w:t xml:space="preserve">1.321.250</w:t>
            </w:r>
          </w:p>
        </w:tc>
        <w:tc>
          <w:tcPr>
            <w:tcW w:w="1632.96" w:type="dxa"/>
            <w:vAlign w:val="center"/>
          </w:tcPr>
          <w:p>
            <w:pPr>
              <w:jc w:val="both"/>
              <w:pStyle w:val="CellColumn"/>
            </w:pPr>
            <w:r>
              <w:rPr>
                <w:rFonts w:hAnsi="Times New Roman" w:cs="Times New Roman"/>
              </w:rPr>
              <w:t xml:space="preserve">1.212.000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80,3</w:t>
            </w:r>
          </w:p>
        </w:tc>
      </w:tr>
    </w:tbl>
    <w:p>
      <w:pPr>
        <w:jc w:val="left"/>
      </w:pPr>
      <w:r>
        <w:rPr>
          <w:rFonts w:hAnsi="Times New Roman" w:cs="Times New Roman"/>
        </w:rPr>
        <w:t xml:space="preserve"/>
      </w:r>
    </w:p>
    <w:p>
      <w:pPr>
        <w:jc w:val="both"/>
        <w:pStyle w:val="Normal"/>
      </w:pPr>
      <w:r>
        <w:rPr>
          <w:rFonts w:hAnsi="Times New Roman" w:cs="Times New Roman"/>
        </w:rPr>
        <w:t xml:space="preserve">RIS COMEX 2 je višekorisnički projekt u kojem je Ministarstvo mora, prometa i infrastrukture u ime RH jedan od 15 projektnih partnera pod koordinacijom Austrijske vodne uprave Viadonau sa zajedničkim ciljem ostvarivanja funkcionalnosti usluga na definiranim RIS koridorima.  
</w:t>
      </w:r>
    </w:p>
    <w:p>
      <w:pPr>
        <w:jc w:val="both"/>
        <w:pStyle w:val="Normal"/>
      </w:pPr>
      <w:r>
        <w:rPr>
          <w:rFonts w:hAnsi="Times New Roman" w:cs="Times New Roman"/>
        </w:rPr>
        <w:t xml:space="preserve">Ukupna vrijednost projekta svih dionika je 38.935.240 Eura, a hrvatska komponenta iznosi 2.200.000 Eura.  
</w:t>
      </w:r>
    </w:p>
    <w:p>
      <w:pPr>
        <w:jc w:val="both"/>
        <w:pStyle w:val="Normal"/>
      </w:pPr>
      <w:r>
        <w:rPr>
          <w:rFonts w:hAnsi="Times New Roman" w:cs="Times New Roman"/>
        </w:rPr>
        <w:t xml:space="preserve">Aktivnosti koje su predviđene tijekom provedbe projekta odnose se na;  
</w:t>
      </w:r>
    </w:p>
    <w:p>
      <w:pPr>
        <w:jc w:val="both"/>
        <w:pStyle w:val="Normal"/>
      </w:pPr>
      <w:r>
        <w:rPr>
          <w:rFonts w:hAnsi="Times New Roman" w:cs="Times New Roman"/>
        </w:rPr>
        <w:t xml:space="preserve">- primjenu jedinstvenog aplikacijskog sučelja prema CEERIS i EuRIS bazama podataka kojim će uz izravan pristup javnim i privatnim korisnicima biti omogućeno korištenje svih razina RIS usluga na jednom mjestu,   
</w:t>
      </w:r>
    </w:p>
    <w:p>
      <w:pPr>
        <w:jc w:val="both"/>
        <w:pStyle w:val="Normal"/>
      </w:pPr>
      <w:r>
        <w:rPr>
          <w:rFonts w:hAnsi="Times New Roman" w:cs="Times New Roman"/>
        </w:rPr>
        <w:t xml:space="preserve">- nadogradnju nacionale WEB AIS aplikacije novim korisničkim mogućnostima koje se odnose na prometnu signalizaciju (AtoN), omogućavanje samostalnog uređivanja navigacijskih karata (ENC), prikaz dubina u realnom vremenu, prikaz visina ispod mostova u realnom vremenu te ažuriranje baze kodova za objekte na unutarnjim vodnim putovima (RIS index).  
</w:t>
      </w:r>
    </w:p>
    <w:p>
      <w:pPr>
        <w:jc w:val="both"/>
        <w:pStyle w:val="Normal"/>
      </w:pPr>
      <w:r>
        <w:rPr>
          <w:rFonts w:hAnsi="Times New Roman" w:cs="Times New Roman"/>
        </w:rPr>
        <w:t xml:space="preserve">- Obnova RIS infrastrukture kojom će biti omogućena bolja stabilnost i pouzdanost sustava,  
</w:t>
      </w:r>
    </w:p>
    <w:p>
      <w:pPr>
        <w:jc w:val="both"/>
        <w:pStyle w:val="Normal"/>
      </w:pPr>
      <w:r>
        <w:rPr>
          <w:rFonts w:hAnsi="Times New Roman" w:cs="Times New Roman"/>
        </w:rPr>
        <w:t xml:space="preserve">- Nabava korisničkih radnih stanica za potrebe regionalnih RIS centara.    
</w:t>
      </w:r>
    </w:p>
    <w:p>
      <w:pPr>
        <w:jc w:val="both"/>
        <w:pStyle w:val="Normal"/>
      </w:pPr>
      <w:r>
        <w:rPr>
          <w:rFonts w:hAnsi="Times New Roman" w:cs="Times New Roman"/>
        </w:rPr>
        <w:t xml:space="preserve">Specifični ciljevi projekta:  
</w:t>
      </w:r>
    </w:p>
    <w:p>
      <w:pPr>
        <w:jc w:val="both"/>
        <w:pStyle w:val="Normal"/>
      </w:pPr>
      <w:r>
        <w:rPr>
          <w:rFonts w:hAnsi="Times New Roman" w:cs="Times New Roman"/>
        </w:rPr>
        <w:t xml:space="preserve">- Bolje planiranje prijevoza unutarnjim plovnim putovima (povećana pouzdanost)  
</w:t>
      </w:r>
    </w:p>
    <w:p>
      <w:pPr>
        <w:jc w:val="both"/>
        <w:pStyle w:val="Normal"/>
      </w:pPr>
      <w:r>
        <w:rPr>
          <w:rFonts w:hAnsi="Times New Roman" w:cs="Times New Roman"/>
        </w:rPr>
        <w:t xml:space="preserve">- Smanjenje vremena čekanja i putovanja  
</w:t>
      </w:r>
    </w:p>
    <w:p>
      <w:pPr>
        <w:jc w:val="both"/>
        <w:pStyle w:val="Normal"/>
      </w:pPr>
      <w:r>
        <w:rPr>
          <w:rFonts w:hAnsi="Times New Roman" w:cs="Times New Roman"/>
        </w:rPr>
        <w:t xml:space="preserve">- Povećanje učinkovitosti u prometu unutarnjim plovnim putovima  
</w:t>
      </w:r>
    </w:p>
    <w:p>
      <w:pPr>
        <w:jc w:val="both"/>
        <w:pStyle w:val="Normal"/>
      </w:pPr>
      <w:r>
        <w:rPr>
          <w:rFonts w:hAnsi="Times New Roman" w:cs="Times New Roman"/>
        </w:rPr>
        <w:t xml:space="preserve">- Optimalna uporaba infrastrukture (povećana iskoristivost kapaciteta)  
</w:t>
      </w:r>
    </w:p>
    <w:p>
      <w:pPr>
        <w:jc w:val="both"/>
        <w:pStyle w:val="Normal"/>
      </w:pPr>
      <w:r>
        <w:rPr>
          <w:rFonts w:hAnsi="Times New Roman" w:cs="Times New Roman"/>
        </w:rPr>
        <w:t xml:space="preserve">- Smanjenje administrativnih prepreka  
</w:t>
      </w:r>
    </w:p>
    <w:p>
      <w:pPr>
        <w:jc w:val="both"/>
        <w:pStyle w:val="Normal"/>
      </w:pPr>
      <w:r>
        <w:rPr>
          <w:rFonts w:hAnsi="Times New Roman" w:cs="Times New Roman"/>
        </w:rPr>
        <w:t xml:space="preserve">- Obnovljena RIS infrastrukture na području RH  
</w:t>
      </w:r>
    </w:p>
    <w:p>
      <w:pPr>
        <w:jc w:val="both"/>
        <w:pStyle w:val="Normal"/>
      </w:pPr>
      <w:r>
        <w:rPr>
          <w:rFonts w:hAnsi="Times New Roman" w:cs="Times New Roman"/>
        </w:rPr>
        <w:t xml:space="preserve">- Puštanje u rad korisničkih radnih stanica za potrebe regionalnih RIS centara  
</w:t>
      </w:r>
    </w:p>
    <w:p>
      <w:pPr>
        <w:jc w:val="both"/>
        <w:pStyle w:val="Normal"/>
      </w:pPr>
      <w:r>
        <w:rPr>
          <w:rFonts w:hAnsi="Times New Roman" w:cs="Times New Roman"/>
        </w:rPr>
        <w:t xml:space="preserve">- Uspostava cjelovitog govornog VHF-a na unutarnjim vodnim putovima u RH</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Stupanj implementacije rezultata RIS-a</w:t>
            </w:r>
          </w:p>
        </w:tc>
        <w:tc>
          <w:tcPr>
            <w:tcW w:w="2245.32" w:type="dxa"/>
            <w:vAlign w:val="center"/>
          </w:tcPr>
          <w:p>
            <w:pPr>
              <w:jc w:val="both"/>
              <w:pStyle w:val="CellColumn"/>
            </w:pPr>
            <w:r>
              <w:rPr>
                <w:rFonts w:hAnsi="Times New Roman" w:cs="Times New Roman"/>
              </w:rPr>
              <w:t xml:space="preserve">Međunarodna implementacija i uporaba RIS-a na ključnim prometnim koridorima unutarnje plovidbe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25</w:t>
            </w:r>
          </w:p>
        </w:tc>
        <w:tc>
          <w:tcPr>
            <w:tcW w:w="918.54" w:type="dxa"/>
            <w:vAlign w:val="center"/>
          </w:tcPr>
          <w:p>
            <w:pPr>
              <w:jc w:val="both"/>
              <w:pStyle w:val="CellColumn"/>
            </w:pPr>
            <w:r>
              <w:rPr>
                <w:rFonts w:hAnsi="Times New Roman" w:cs="Times New Roman"/>
              </w:rPr>
              <w:t xml:space="preserve">50</w:t>
            </w:r>
          </w:p>
        </w:tc>
        <w:tc>
          <w:tcPr>
            <w:tcW w:w="918.54" w:type="dxa"/>
            <w:vAlign w:val="center"/>
          </w:tcPr>
          <w:p>
            <w:pPr>
              <w:jc w:val="both"/>
              <w:pStyle w:val="CellColumn"/>
            </w:pPr>
            <w:r>
              <w:rPr>
                <w:rFonts w:hAnsi="Times New Roman" w:cs="Times New Roman"/>
              </w:rPr>
              <w:t xml:space="preserve">75</w:t>
            </w:r>
          </w:p>
        </w:tc>
      </w:tr>
    </w:tbl>
    <w:p>
      <w:pPr>
        <w:jc w:val="left"/>
      </w:pPr>
      <w:r>
        <w:rPr>
          <w:rFonts w:hAnsi="Times New Roman" w:cs="Times New Roman"/>
        </w:rPr>
        <w:t xml:space="preserve"/>
      </w:r>
    </w:p>
    <w:p>
      <w:pPr>
        <w:jc w:val="left"/>
        <w:pStyle w:val="Heading4"/>
      </w:pPr>
      <w:r>
        <w:rPr>
          <w:rFonts w:hAnsi="Times New Roman" w:cs="Times New Roman"/>
        </w:rPr>
        <w:t xml:space="preserve">K819083 KIBERNETIČKA SIGURNOST U HRVATSKOM POMORSKOM PROMETU- CYSCROMS</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Direktiva (EU) 2016/1148 Europskog parlamenta i Vijeća od 6. srpnja 2016. o mjerama za visoku zajedničku razinu sigurnosti mrežnih i informacijskih sustava širom Unije (Direktiva NIS)
</w:t>
      </w:r>
    </w:p>
    <w:p>
      <w:pPr>
        <w:jc w:val="both"/>
        <w:pStyle w:val="Normal5"/>
      </w:pPr>
      <w:r>
        <w:rPr>
          <w:rFonts w:hAnsi="Times New Roman" w:cs="Times New Roman"/>
        </w:rPr>
        <w:t xml:space="preserve">- Direktiva (EU) 2022/2555 Europskog parlamenta i Vijeća od 14. prosinca 2022. o mjerama za visoku zajedničku razinu kibernetičke sigurnosti širom Unije, izmjeni Uredbe (EU) br. 910/2014 i Direktive (EU) 2018/1972 i stavljanju izvan snage Direktive (EU) 2016/1148 (Direktiva NIS 2)
</w:t>
      </w:r>
    </w:p>
    <w:p>
      <w:pPr>
        <w:jc w:val="both"/>
        <w:pStyle w:val="Normal5"/>
      </w:pPr>
      <w:r>
        <w:rPr>
          <w:rFonts w:hAnsi="Times New Roman" w:cs="Times New Roman"/>
        </w:rPr>
        <w:t xml:space="preserve">- Zakon o kibernetičkoj sigurnosti operatora ključnih usluga i davatelja digitalnih usluga
</w:t>
      </w:r>
    </w:p>
    <w:p>
      <w:pPr>
        <w:jc w:val="both"/>
        <w:pStyle w:val="Normal5"/>
      </w:pPr>
      <w:r>
        <w:rPr>
          <w:rFonts w:hAnsi="Times New Roman" w:cs="Times New Roman"/>
        </w:rPr>
        <w:t xml:space="preserve">- Uredba o kibernetičkoj sigurnosti operatora ključnih usluga i davatelja digitalnih usluga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K819083-KIBERNETIČKA SIGURNOST U HRVATSKOM POMORSKOM PROMETU- CYSCROMS</w:t>
            </w:r>
          </w:p>
        </w:tc>
        <w:tc>
          <w:tcPr>
            <w:tcW w:w="1632.96" w:type="dxa"/>
            <w:vAlign w:val="center"/>
          </w:tcPr>
          <w:p>
            <w:pPr>
              <w:jc w:val="both"/>
              <w:pStyle w:val="CellColumn"/>
            </w:pPr>
            <w:r>
              <w:rPr>
                <w:rFonts w:hAnsi="Times New Roman" w:cs="Times New Roman"/>
              </w:rPr>
              <w:t xml:space="preserve">1.222.743</w:t>
            </w:r>
          </w:p>
        </w:tc>
        <w:tc>
          <w:tcPr>
            <w:tcW w:w="1632.96" w:type="dxa"/>
            <w:vAlign w:val="center"/>
          </w:tcPr>
          <w:p>
            <w:pPr>
              <w:jc w:val="both"/>
              <w:pStyle w:val="CellColumn"/>
            </w:pPr>
            <w:r>
              <w:rPr>
                <w:rFonts w:hAnsi="Times New Roman" w:cs="Times New Roman"/>
              </w:rPr>
              <w:t xml:space="preserve">324.550</w:t>
            </w:r>
          </w:p>
        </w:tc>
        <w:tc>
          <w:tcPr>
            <w:tcW w:w="1632.96" w:type="dxa"/>
            <w:vAlign w:val="center"/>
          </w:tcPr>
          <w:p>
            <w:pPr>
              <w:jc w:val="both"/>
              <w:pStyle w:val="CellColumn"/>
            </w:pPr>
            <w:r>
              <w:rPr>
                <w:rFonts w:hAnsi="Times New Roman" w:cs="Times New Roman"/>
              </w:rPr>
              <w:t xml:space="preserve">530.300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163,4</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prepoznalo je radi potrebe za podizanjem razine kibernetičke sigurnosti u pomorskom prometu, zajedno s operatorima ključnih usluga prema zakonu kojim se uređuje kibernetička sigurnost: lučkim upravama Zadar, Split, Ploče i Dubrovnik, te Jadrolinijom i Plovputom, osnovalo konzorcij s ciljem provedbe Projekta CYSCROMS - Cyber Safety in Croatian maritime Transport Sector, temeljem poziva DIGITAL-ECCC-2022-CYBER-03, pri čemu je  Ministarstvo mora, prometa i infrastrukture vodeći projektni partner odnosno koordinator Projekta. Projekt CYSCROMS započeo je 1. listopada 2023. godine, a trajat će 36 mjeseci.  
</w:t>
      </w:r>
    </w:p>
    <w:p>
      <w:pPr>
        <w:jc w:val="both"/>
        <w:pStyle w:val="Normal"/>
      </w:pPr>
      <w:r>
        <w:rPr>
          <w:rFonts w:hAnsi="Times New Roman" w:cs="Times New Roman"/>
        </w:rPr>
        <w:t xml:space="preserve">Cilj projekta je osigurati visoku razinu usklađenosti identificiranih operatora ključnih usluga sa zahtjevima iz Direktive NIS, odnosno s Direktivom NIS 2 koja ju nasljeđuje kao odgovor EU na rastuće prijetnje u kibernetičkom prostoru i veće zahtjeve za poduzimanjem mjera kibernetičke sigurnosti.  
</w:t>
      </w:r>
    </w:p>
    <w:p>
      <w:pPr>
        <w:jc w:val="both"/>
        <w:pStyle w:val="Normal"/>
      </w:pPr>
      <w:r>
        <w:rPr>
          <w:rFonts w:hAnsi="Times New Roman" w:cs="Times New Roman"/>
        </w:rPr>
        <w:t xml:space="preserve">Ukupna vrijednost projekta CYSCROMS iznosi 5.101.672,56 EUR. Stopa dodjele EU doprinosa iznosi 50%. Iznos sufinanciranja koji će temeljem ovog Projekta ukupno primiti Ministarstvo mora, prometa i infrastrukture iznosi 334.246,52 EUR, a isti je i iznos nacionalnog sufinanciranja.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Podizanje razine kibernetičke sigurnosti operatora ključnih usluga u pomorskom prometu</w:t>
            </w:r>
          </w:p>
        </w:tc>
        <w:tc>
          <w:tcPr>
            <w:tcW w:w="2245.32" w:type="dxa"/>
            <w:vAlign w:val="center"/>
          </w:tcPr>
          <w:p>
            <w:pPr>
              <w:jc w:val="both"/>
              <w:pStyle w:val="CellColumn"/>
            </w:pPr>
            <w:r>
              <w:rPr>
                <w:rFonts w:hAnsi="Times New Roman" w:cs="Times New Roman"/>
              </w:rPr>
              <w:t xml:space="preserve">Postizanje višeg stupnja kibernetičke sigurnosti operatora ključnih usluga u podsektoru vodni prijevoz kroz osiguranje usklađenosti sa zahtjevima iz Direktive NIS2</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65</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K820078 OBNOVA SAR FLOTE LUČKIH KAPETANIJA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članci 50., 165. i 176. a
</w:t>
      </w:r>
    </w:p>
    <w:p>
      <w:pPr>
        <w:jc w:val="both"/>
        <w:pStyle w:val="Normal5"/>
      </w:pPr>
      <w:r>
        <w:rPr>
          <w:rFonts w:hAnsi="Times New Roman" w:cs="Times New Roman"/>
        </w:rPr>
        <w:t xml:space="preserve">- Zakon o lučkim kapetanijama, članak 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K820078-OBNOVA SAR FLOTE LUČKIH KAPETANIJA</w:t>
            </w:r>
          </w:p>
        </w:tc>
        <w:tc>
          <w:tcPr>
            <w:tcW w:w="1632.96" w:type="dxa"/>
            <w:vAlign w:val="center"/>
          </w:tcPr>
          <w:p>
            <w:pPr>
              <w:jc w:val="both"/>
              <w:pStyle w:val="CellColumn"/>
            </w:pPr>
            <w:r>
              <w:rPr>
                <w:rFonts w:hAnsi="Times New Roman" w:cs="Times New Roman"/>
              </w:rPr>
              <w:t xml:space="preserve">4.478.231</w:t>
            </w:r>
          </w:p>
        </w:tc>
        <w:tc>
          <w:tcPr>
            <w:tcW w:w="1632.96" w:type="dxa"/>
            <w:vAlign w:val="center"/>
          </w:tcPr>
          <w:p>
            <w:pPr>
              <w:jc w:val="both"/>
              <w:pStyle w:val="CellColumn"/>
            </w:pPr>
            <w:r>
              <w:rPr>
                <w:rFonts w:hAnsi="Times New Roman" w:cs="Times New Roman"/>
              </w:rPr>
              <w:t xml:space="preserve">7.660.000</w:t>
            </w:r>
          </w:p>
        </w:tc>
        <w:tc>
          <w:tcPr>
            <w:tcW w:w="1632.96" w:type="dxa"/>
            <w:vAlign w:val="center"/>
          </w:tcPr>
          <w:p>
            <w:pPr>
              <w:jc w:val="both"/>
              <w:pStyle w:val="CellColumn"/>
            </w:pPr>
            <w:r>
              <w:rPr>
                <w:rFonts w:hAnsi="Times New Roman" w:cs="Times New Roman"/>
              </w:rPr>
              <w:t xml:space="preserve">7.200.000</w:t>
            </w:r>
          </w:p>
        </w:tc>
        <w:tc>
          <w:tcPr>
            <w:tcW w:w="1632.96" w:type="dxa"/>
            <w:vAlign w:val="center"/>
          </w:tcPr>
          <w:p>
            <w:pPr>
              <w:jc w:val="both"/>
              <w:pStyle w:val="CellColumn"/>
            </w:pPr>
            <w:r>
              <w:rPr>
                <w:rFonts w:hAnsi="Times New Roman" w:cs="Times New Roman"/>
              </w:rPr>
              <w:t xml:space="preserve">31.600.000</w:t>
            </w:r>
          </w:p>
        </w:tc>
        <w:tc>
          <w:tcPr>
            <w:tcW w:w="1632.96" w:type="dxa"/>
            <w:vAlign w:val="center"/>
          </w:tcPr>
          <w:p>
            <w:pPr>
              <w:jc w:val="both"/>
              <w:pStyle w:val="CellColumn"/>
            </w:pPr>
            <w:r>
              <w:rPr>
                <w:rFonts w:hAnsi="Times New Roman" w:cs="Times New Roman"/>
              </w:rPr>
              <w:t xml:space="preserve">7.800.000</w:t>
            </w:r>
          </w:p>
        </w:tc>
        <w:tc>
          <w:tcPr>
            <w:tcW w:w="510.3" w:type="dxa"/>
            <w:vAlign w:val="center"/>
          </w:tcPr>
          <w:p>
            <w:pPr>
              <w:jc w:val="both"/>
              <w:pStyle w:val="CellColumn"/>
            </w:pPr>
            <w:r>
              <w:rPr>
                <w:rFonts w:hAnsi="Times New Roman" w:cs="Times New Roman"/>
              </w:rPr>
              <w:t xml:space="preserve">94,0</w:t>
            </w:r>
          </w:p>
        </w:tc>
      </w:tr>
    </w:tbl>
    <w:p>
      <w:pPr>
        <w:jc w:val="left"/>
      </w:pPr>
      <w:r>
        <w:rPr>
          <w:rFonts w:hAnsi="Times New Roman" w:cs="Times New Roman"/>
        </w:rPr>
        <w:t xml:space="preserve"/>
      </w:r>
    </w:p>
    <w:p>
      <w:pPr>
        <w:jc w:val="both"/>
        <w:pStyle w:val="Normal"/>
      </w:pPr>
      <w:r>
        <w:rPr>
          <w:rFonts w:hAnsi="Times New Roman" w:cs="Times New Roman"/>
        </w:rPr>
        <w:t xml:space="preserve">Služba traganja i spašavanja (SAR, Search and Rescue) na moru trenutno raspolaže s ukupno 44 plovila, odnosno 4 SAR broda i 40 brodica od kojih su neke zastarjele, prosječne starosti veće od 25 godina, različitih tehničko-tehnoloških značajki i raznolike razine opremljenosti uključujući i raznoliku i nedostatnu razinu opremljenosti sredstvima za spašavanje.  
</w:t>
      </w:r>
    </w:p>
    <w:p>
      <w:pPr>
        <w:jc w:val="both"/>
        <w:pStyle w:val="Normal"/>
      </w:pPr>
      <w:r>
        <w:rPr>
          <w:rFonts w:hAnsi="Times New Roman" w:cs="Times New Roman"/>
        </w:rPr>
        <w:t xml:space="preserve">U tijeku je obnova čitave flote sa sljedećim plovilima:  
</w:t>
      </w:r>
    </w:p>
    <w:p>
      <w:pPr>
        <w:jc w:val="both"/>
        <w:pStyle w:val="Normal"/>
      </w:pPr>
      <w:r>
        <w:rPr>
          <w:rFonts w:hAnsi="Times New Roman" w:cs="Times New Roman"/>
        </w:rPr>
        <w:t xml:space="preserve">-	9 gumenih brodica sa staklo plastičnim dnom duljine trupa 9 metara. Svih 9 brodica je isporučeno  
</w:t>
      </w:r>
    </w:p>
    <w:p>
      <w:pPr>
        <w:jc w:val="both"/>
        <w:pStyle w:val="Normal"/>
      </w:pPr>
      <w:r>
        <w:rPr>
          <w:rFonts w:hAnsi="Times New Roman" w:cs="Times New Roman"/>
        </w:rPr>
        <w:t xml:space="preserve">-	15 staklo plastičnih brodica duljine 10 metara čija je gradnja u tijeku.  Tijekom 2024. godine isporučeno je pet staklo plastičnih brodica, a još pet je isporučeno tijekom ove godine. Planirana  dinamika isporuke preostalih pet brodica je u 2026. godini  
</w:t>
      </w:r>
    </w:p>
    <w:p>
      <w:pPr>
        <w:jc w:val="both"/>
        <w:pStyle w:val="Normal"/>
      </w:pPr>
      <w:r>
        <w:rPr>
          <w:rFonts w:hAnsi="Times New Roman" w:cs="Times New Roman"/>
        </w:rPr>
        <w:t xml:space="preserve">-	 7 SAR aluminijskih brodica duljine 15 metara čija je gradnja u tijeku. U 2025. godini isporučene su dvije aluminijske brodice te se očekuje isporuka preostalih 5 do 2028. godine   
</w:t>
      </w:r>
    </w:p>
    <w:p>
      <w:pPr>
        <w:jc w:val="both"/>
        <w:pStyle w:val="Normal"/>
      </w:pPr>
      <w:r>
        <w:rPr>
          <w:rFonts w:hAnsi="Times New Roman" w:cs="Times New Roman"/>
        </w:rPr>
        <w:t xml:space="preserve">-	2 SAR broda duljine između 35 i 45 metara, uz procijenjenu vrijednost po sadašnjim cijenama nabave jednog novog broda koja iznosi oko 35.000.000 EUR s PDV-om  
</w:t>
      </w:r>
    </w:p>
    <w:p>
      <w:pPr>
        <w:jc w:val="both"/>
        <w:pStyle w:val="Normal"/>
      </w:pPr>
      <w:r>
        <w:rPr>
          <w:rFonts w:hAnsi="Times New Roman" w:cs="Times New Roman"/>
        </w:rPr>
        <w:t xml:space="preserve">Nabavkom ovih plovila bitno će se unaprijediti služba sigurnosti plovidbe i zaštite mora od onečišćenja. Uvođenjem novih plovila posjedovat ćemo flotu bitno boljih maritimnih sposobnosti, smanjit će se prosječna starost flote kao i područje koje će pokrivati svako pojedeno plovilo, uz reakciju na događaj u okviru „zlatnog sata“ u unutarnjim morskim vodama i teritorijalnom moru pri svim vremenskim uvjetima.  
</w:t>
      </w:r>
    </w:p>
    <w:p>
      <w:pPr>
        <w:jc w:val="both"/>
        <w:pStyle w:val="Normal"/>
      </w:pPr>
      <w:r>
        <w:rPr>
          <w:rFonts w:hAnsi="Times New Roman" w:cs="Times New Roman"/>
        </w:rPr>
        <w:t xml:space="preserve">Usporedno s nabavkom novih plovila pokrenut je postupak rashodovanja postojećih plovila. Tijekom 2024. godine rashodovano je 8 brodica, a tijekom 2025. 4 brodice i 2 čamca.
</w:t>
      </w:r>
    </w:p>
    <w:p>
      <w:pPr>
        <w:jc w:val="both"/>
        <w:pStyle w:val="Normal"/>
      </w:pPr>
      <w:r>
        <w:rPr>
          <w:rFonts w:hAnsi="Times New Roman" w:cs="Times New Roman"/>
        </w:rPr>
        <w:t xml:space="preserve">U planiranom periodu od 2026. do 2028. godine planira se nabaviti 5 staklo plastičnih brodica duljine 10 metara,  5 aluminijskih brodica duljine 15 metara i 1 SAR brod.</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Smanjenje prosječne starosti i unifikacija flote lučkih kapetanija</w:t>
            </w:r>
          </w:p>
        </w:tc>
        <w:tc>
          <w:tcPr>
            <w:tcW w:w="2245.32" w:type="dxa"/>
            <w:vAlign w:val="center"/>
          </w:tcPr>
          <w:p>
            <w:pPr>
              <w:jc w:val="both"/>
              <w:pStyle w:val="CellColumn"/>
            </w:pPr>
            <w:r>
              <w:rPr>
                <w:rFonts w:hAnsi="Times New Roman" w:cs="Times New Roman"/>
              </w:rPr>
              <w:t xml:space="preserve">Nabavom 34 nova plovila, te zamjenom plovila starijih od 10 godina smanjuje se prosječna starost plovila, povećava njihova i sigurnost djelatnika lučkih kapetanija i ispostava lučkih kapetanija</w:t>
            </w:r>
          </w:p>
        </w:tc>
        <w:tc>
          <w:tcPr>
            <w:tcW w:w="918.54" w:type="dxa"/>
            <w:vAlign w:val="center"/>
          </w:tcPr>
          <w:p>
            <w:pPr>
              <w:jc w:val="both"/>
              <w:pStyle w:val="CellColumn"/>
            </w:pPr>
            <w:r>
              <w:rPr>
                <w:rFonts w:hAnsi="Times New Roman" w:cs="Times New Roman"/>
              </w:rPr>
              <w:t xml:space="preserve">Prosječna starost flote</w:t>
            </w:r>
          </w:p>
        </w:tc>
        <w:tc>
          <w:tcPr>
            <w:tcW w:w="918.54" w:type="dxa"/>
            <w:vAlign w:val="center"/>
          </w:tcPr>
          <w:p>
            <w:pPr>
              <w:jc w:val="both"/>
              <w:pStyle w:val="CellColumn"/>
            </w:pPr>
            <w:r>
              <w:rPr>
                <w:rFonts w:hAnsi="Times New Roman" w:cs="Times New Roman"/>
              </w:rPr>
              <w:t xml:space="preserve">18</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9</w:t>
            </w:r>
          </w:p>
        </w:tc>
        <w:tc>
          <w:tcPr>
            <w:tcW w:w="918.54" w:type="dxa"/>
            <w:vAlign w:val="center"/>
          </w:tcPr>
          <w:p>
            <w:pPr>
              <w:jc w:val="both"/>
              <w:pStyle w:val="CellColumn"/>
            </w:pPr>
            <w:r>
              <w:rPr>
                <w:rFonts w:hAnsi="Times New Roman" w:cs="Times New Roman"/>
              </w:rPr>
              <w:t xml:space="preserve">8</w:t>
            </w:r>
          </w:p>
        </w:tc>
      </w:tr>
    </w:tbl>
    <w:p>
      <w:pPr>
        <w:jc w:val="left"/>
      </w:pPr>
      <w:r>
        <w:rPr>
          <w:rFonts w:hAnsi="Times New Roman" w:cs="Times New Roman"/>
        </w:rPr>
        <w:t xml:space="preserve"/>
      </w:r>
    </w:p>
    <w:p>
      <w:pPr>
        <w:jc w:val="left"/>
        <w:pStyle w:val="Heading4"/>
      </w:pPr>
      <w:r>
        <w:rPr>
          <w:rFonts w:hAnsi="Times New Roman" w:cs="Times New Roman"/>
        </w:rPr>
        <w:t xml:space="preserve">K820084 MODERNIZACIJA I ODRŽAVANJE FLOTE I OBJEKATA SIGURNOSTI PLOVIDBE TRGOVAČKOG DRUŠTVA PLOVPUT D.O.O.</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članak 6.stavak 2. Zakona o Plovputu  (NN 73/97)</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K820084-MODERNIZACIJA I ODRŽAVANJE FLOTE I OBJEKATA SIGURNOSTI PLOVIDBE TRGOVAČKOG DRUŠTVA PLOVPUT D.O.O.</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1.494.300</w:t>
            </w:r>
          </w:p>
        </w:tc>
        <w:tc>
          <w:tcPr>
            <w:tcW w:w="1632.96" w:type="dxa"/>
            <w:vAlign w:val="center"/>
          </w:tcPr>
          <w:p>
            <w:pPr>
              <w:jc w:val="both"/>
              <w:pStyle w:val="CellColumn"/>
            </w:pPr>
            <w:r>
              <w:rPr>
                <w:rFonts w:hAnsi="Times New Roman" w:cs="Times New Roman"/>
              </w:rPr>
              <w:t xml:space="preserve">200.000</w:t>
            </w:r>
          </w:p>
        </w:tc>
        <w:tc>
          <w:tcPr>
            <w:tcW w:w="1632.96" w:type="dxa"/>
            <w:vAlign w:val="center"/>
          </w:tcPr>
          <w:p>
            <w:pPr>
              <w:jc w:val="both"/>
              <w:pStyle w:val="CellColumn"/>
            </w:pPr>
            <w:r>
              <w:rPr>
                <w:rFonts w:hAnsi="Times New Roman" w:cs="Times New Roman"/>
              </w:rPr>
              <w:t xml:space="preserve">600.000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13,4</w:t>
            </w:r>
          </w:p>
        </w:tc>
      </w:tr>
    </w:tbl>
    <w:p>
      <w:pPr>
        <w:jc w:val="left"/>
      </w:pPr>
      <w:r>
        <w:rPr>
          <w:rFonts w:hAnsi="Times New Roman" w:cs="Times New Roman"/>
        </w:rPr>
        <w:t xml:space="preserve"/>
      </w:r>
    </w:p>
    <w:p>
      <w:pPr>
        <w:jc w:val="both"/>
        <w:pStyle w:val="Normal"/>
      </w:pPr>
      <w:r>
        <w:rPr>
          <w:rFonts w:hAnsi="Times New Roman" w:cs="Times New Roman"/>
        </w:rPr>
        <w:t xml:space="preserve">Svoje javne ovlasti i aktivnosti trgovačko društvo Plovput izvršava sa ukupno osam aluminijskih brodica te četiri radna broda, od koji su dva broda-betonare. Brze brodice raspoređene su u sedam plovnih područja duž Jadrana i namjenski su izgrađene za održavanje objekata pomorske signalizacije, a koriste se i za obavljanje drugih zakonom propisanih ovlasti, koje su ključne za održavanje razine sigurnosti plovidbe na morskim putovima Republike Hrvatske. Izgradnja navedenih brzih brodica odvijala se sukcesivno, u periodu od 1998. g. do 2004. g. Uzimajući u obzir da je očekivani vijek trajanja brodice izgrađene od aluminija 20 godina, većina brodica iz flote Plovputa premašila je navedeni vremenski period.  Zbog prethodno navedenog Plovput je započeo projekt obnove flote, te je iz vlastitih sredstava Plovputa tijekom 2024.g. nabavljena jedna nova brza brodica, a tijekom 2025.g. još jedna brza brodica čija se izgradnja sufinancirala iz državnog proračuna. U narednom periodu Plovput planira izgradnju jednog novog radnog broda i još jedne veće brze brodice, što će rezultirati dugoročnim povećanjem razine sigurnosti pomorskog prometa, povećanom efikasnošću sustava postavljanja i održavanja objekata sigurnosti plovidbe kao i zaštite morskog okoliša uklanjanjem podrtina i potonulih stvari. Isto tako postojeću flotu ovog trgovačkog društva treba održavati, što podrazumijeva obavljanje godišnjeg remonta brodova i brodica. Modernizacija i održavanje flote i objekata sigurnosti plovidbe Plovputa je prioritet, kako bi se godišnji planovi izgradnje i održavanja objekata pomorske signalizacije mogli uspješno realizirati, što je u izravnoj korelaciji s razinom sigurnosti plovidbe na Jadranu. Cilj je kontinuirano održavati zavidnu razinu sigurnosti plovidbe na morskih plovnim putovima Republike Hrvatske. 
</w:t>
      </w:r>
    </w:p>
    <w:p>
      <w:pPr>
        <w:jc w:val="both"/>
        <w:pStyle w:val="Normal"/>
      </w:pPr>
      <w:r>
        <w:rPr>
          <w:rFonts w:hAnsi="Times New Roman" w:cs="Times New Roman"/>
        </w:rPr>
        <w:t xml:space="preserve">U okviru aktivnosti u 2026. godini sredstava će se utrošiti  za sufinanciranje nastavka modernizacije i održavanja postojeće flote Plovputa, odnosno za sufinanciranje rashoda za godišnje remonte plovila, kao i za održavanje  objekata sigurnosti plovidbe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Flota trgovačkog društva Plovput d.o.o. modernizirana</w:t>
            </w:r>
          </w:p>
        </w:tc>
        <w:tc>
          <w:tcPr>
            <w:tcW w:w="2245.32" w:type="dxa"/>
            <w:vAlign w:val="center"/>
          </w:tcPr>
          <w:p>
            <w:pPr>
              <w:jc w:val="both"/>
              <w:pStyle w:val="CellColumn"/>
            </w:pPr>
            <w:r>
              <w:rPr>
                <w:rFonts w:hAnsi="Times New Roman" w:cs="Times New Roman"/>
              </w:rPr>
              <w:t xml:space="preserve">nabavom 2 broda radionice (1 za pliće more i 1 za otvoreno more), 5 brodica za plovna područja te bespilotne ronilice rezultirat će dugoročno povećanom sigurnosti pomorskog prometa, povećanom efikasnošću sustava postavljanja i održavanja objekata sigurnosti plovidbe kao i zaštite morskog okoliša uklanjanjem podrtina i potonulih stvari</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
</w:t>
            </w:r>
          </w:p>
          <w:p>
            <w:pPr>
              <w:jc w:val="both"/>
              <w:pStyle w:val="CellColumn"/>
            </w:pPr>
            <w:r>
              <w:rPr>
                <w:rFonts w:hAnsi="Times New Roman" w:cs="Times New Roman"/>
              </w:rPr>
              <w:t xml:space="preserve">Plovput d.o.o.</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T810059 NACIONALNI SUSTAV ZA SUZBIJANJE ONEČIŠĆENJA MORA VELIKIH RAZMJERA - EAS HR</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članak 49. h, članak 55.f i članak 55.h
</w:t>
      </w:r>
    </w:p>
    <w:p>
      <w:pPr>
        <w:jc w:val="both"/>
        <w:pStyle w:val="Normal5"/>
      </w:pPr>
      <w:r>
        <w:rPr>
          <w:rFonts w:hAnsi="Times New Roman" w:cs="Times New Roman"/>
        </w:rPr>
        <w:t xml:space="preserve">- Plan intervencija kod iznenadnih onečišćenja mora, točke 31., 35., 40. i 108.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T810059-NACIONALNI SUSTAV ZA SUZBIJANJE ONEČIŠĆENJA MORA VELIKIH RAZMJERA - EAS HR</w:t>
            </w:r>
          </w:p>
        </w:tc>
        <w:tc>
          <w:tcPr>
            <w:tcW w:w="1632.96" w:type="dxa"/>
            <w:vAlign w:val="center"/>
          </w:tcPr>
          <w:p>
            <w:pPr>
              <w:jc w:val="both"/>
              <w:pStyle w:val="CellColumn"/>
            </w:pPr>
            <w:r>
              <w:rPr>
                <w:rFonts w:hAnsi="Times New Roman" w:cs="Times New Roman"/>
              </w:rPr>
              <w:t xml:space="preserve">1.241.780</w:t>
            </w:r>
          </w:p>
        </w:tc>
        <w:tc>
          <w:tcPr>
            <w:tcW w:w="1632.96" w:type="dxa"/>
            <w:vAlign w:val="center"/>
          </w:tcPr>
          <w:p>
            <w:pPr>
              <w:jc w:val="both"/>
              <w:pStyle w:val="CellColumn"/>
            </w:pPr>
            <w:r>
              <w:rPr>
                <w:rFonts w:hAnsi="Times New Roman" w:cs="Times New Roman"/>
              </w:rPr>
              <w:t xml:space="preserve">233.840</w:t>
            </w:r>
          </w:p>
        </w:tc>
        <w:tc>
          <w:tcPr>
            <w:tcW w:w="1632.96" w:type="dxa"/>
            <w:vAlign w:val="center"/>
          </w:tcPr>
          <w:p>
            <w:pPr>
              <w:jc w:val="both"/>
              <w:pStyle w:val="CellColumn"/>
            </w:pPr>
            <w:r>
              <w:rPr>
                <w:rFonts w:hAnsi="Times New Roman" w:cs="Times New Roman"/>
              </w:rPr>
              <w:t xml:space="preserve">1.050.000</w:t>
            </w:r>
          </w:p>
        </w:tc>
        <w:tc>
          <w:tcPr>
            <w:tcW w:w="1632.96" w:type="dxa"/>
            <w:vAlign w:val="center"/>
          </w:tcPr>
          <w:p>
            <w:pPr>
              <w:jc w:val="both"/>
              <w:pStyle w:val="CellColumn"/>
            </w:pPr>
            <w:r>
              <w:rPr>
                <w:rFonts w:hAnsi="Times New Roman" w:cs="Times New Roman"/>
              </w:rPr>
              <w:t xml:space="preserve">1.075.000</w:t>
            </w:r>
          </w:p>
        </w:tc>
        <w:tc>
          <w:tcPr>
            <w:tcW w:w="1632.96" w:type="dxa"/>
            <w:vAlign w:val="center"/>
          </w:tcPr>
          <w:p>
            <w:pPr>
              <w:jc w:val="both"/>
              <w:pStyle w:val="CellColumn"/>
            </w:pPr>
            <w:r>
              <w:rPr>
                <w:rFonts w:hAnsi="Times New Roman" w:cs="Times New Roman"/>
              </w:rPr>
              <w:t xml:space="preserve">1.095.000</w:t>
            </w:r>
          </w:p>
        </w:tc>
        <w:tc>
          <w:tcPr>
            <w:tcW w:w="510.3" w:type="dxa"/>
            <w:vAlign w:val="center"/>
          </w:tcPr>
          <w:p>
            <w:pPr>
              <w:jc w:val="both"/>
              <w:pStyle w:val="CellColumn"/>
            </w:pPr>
            <w:r>
              <w:rPr>
                <w:rFonts w:hAnsi="Times New Roman" w:cs="Times New Roman"/>
              </w:rPr>
              <w:t xml:space="preserve">449,0</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aktivno i kontinuirano provodi mjere zaštite morskog okoliša koje se odnose na smanjenje štetnih utjecaja pomorskog prometa, kao i nadzor pomorskih objekata u pogledu udovoljavanja najvišim standardima sprječavanja onečišćenja mora s pomorskih objekata u skladu s međunarodnim konvencijama, europskim i nacionalnim propisima. U tom pogledu ističe se slijedeće.
</w:t>
      </w:r>
    </w:p>
    <w:p>
      <w:pPr>
        <w:jc w:val="both"/>
        <w:pStyle w:val="Normal"/>
      </w:pPr>
      <w:r>
        <w:rPr>
          <w:rFonts w:hAnsi="Times New Roman" w:cs="Times New Roman"/>
        </w:rPr>
        <w:t xml:space="preserve">Uzimajući u obzir dinamiku pomorskog prometa koji se odvija u području Jadranskog mora, te da se u hrvatskim lukama godišnje prosječno pretovari oko 23 milijuna tona različitog tereta od čega se gotovo 50% odnosi na opasni teret, te da se u pomorskom prometu koji se tiče hrvatskih morskih luka ostvari prijevoz više od 19 milijuna putnika godišnje, kao i da se na području epikontinentalnog pojasa Republike Hrvatske nalaze tri eksploatacijska polja ugljikovodika, postoji značajna opasnost od pomorskih nesreća koje mogu prouzročiti iznenadna onečišćenja morskog okoliša, a koja mogu biti pogubna kako za morski okoliš tako i za hrvatsko gospodarstvo koje je u velikoj mjeri ovisno o njegovom dobro stanju. Radi toga, trajna obveza Republike Hrvatske kao obalne države jest da samostalno, ali i u suradnji sa ostalim sudionicima Plana intervencija kod iznenadnih onečišćenja mora kao i nadležnim tijelima susjednih država posveti posebnu pozornost zaštiti Jadranskog mora, a osobito u smislu provedbe mjera prevencije te jačanja kapaciteta za reagiranje kod iznenadnih onečišćenja mora.
</w:t>
      </w:r>
    </w:p>
    <w:p>
      <w:pPr>
        <w:jc w:val="both"/>
        <w:pStyle w:val="Normal"/>
      </w:pPr>
      <w:r>
        <w:rPr>
          <w:rFonts w:hAnsi="Times New Roman" w:cs="Times New Roman"/>
        </w:rPr>
        <w:t xml:space="preserve">Ministarstvo mora, prometa i infrastrukture  je radi osiguravanja primjerenog nacionalnog odgovora na iznenadna onečišćenja kao i osiguravanja dostupnosti specijalizirane visoko-kapacitetne opreme za provedbu intervencija suzbijanja onečišćenja mora, tijekom 2023. i 2024. godine opremilo prvi od tri ukupno planirana nacionalna EAS-HR sustava, u koji je uskladišteno ukupno 4.250 m specijaliziranih brana s dodatnom opremom, dva skimmera kapaciteta 50m3 s dodatnom opremom, posebni sustav za prikupljanje teških ulja, krhotina i plutajućeg otpada, a u istom se pored navedenog nalazi i ukupno 110 m3 novonabavljenih kapaciteta za privremeno skladištenje ulja i opasnih tekućina na moru i obali. Ova oprema za reagiranje kod iznenadnih onečišćenja mora, temeljem Sporazuma sklopljenog između Ministarstva mora, prometa i infrastrukture i Ministarstva obrane RH,  uskladištena je u prvi EAR-HR sustav smješten u vojarni „Sveto Letica – Barba“ u Splitu, što ujedno predstavlja odličan primjer međuresorne suradnje. 
</w:t>
      </w:r>
    </w:p>
    <w:p>
      <w:pPr>
        <w:jc w:val="both"/>
        <w:pStyle w:val="Normal"/>
      </w:pPr>
      <w:r>
        <w:rPr>
          <w:rFonts w:hAnsi="Times New Roman" w:cs="Times New Roman"/>
        </w:rPr>
        <w:t xml:space="preserve">Ministarstvo mora, prometa i infrastrukture u prvoj polovini 2025. godine pristupilo je pripremi novih tehničkih specifikacija i dokumentacije za provedbu postupka javne nabave za nabavu opreme i sredstava za provedbu intervencije kod iznenadnih onečišćenja mora, s ciljem sklapanja novih okvirnih sporazuma s više gospodarskih subjekata za razdoblje od 2 godine, te se očekuje kako će ovaj postupak biti završen u I kvartalu 2026. godine. Po sklapanju novih okvirnih sporazuma u 2026. godini pristupiti će se daljnjem sklapanju pojedinačnih ugovora o nabavi opreme i sredstava za intervencija kod iznenadnih onečišćenja mora radi nužnog opremanja drugog EAS-HR sustava, čija je uspostava previđena u 2026. godini u području sjevernog Jadrana a dovršetak opremanja istog predviđen je do kraja 2027. godine.
</w:t>
      </w:r>
    </w:p>
    <w:p>
      <w:pPr>
        <w:jc w:val="both"/>
        <w:pStyle w:val="Normal"/>
      </w:pPr>
      <w:r>
        <w:rPr>
          <w:rFonts w:hAnsi="Times New Roman" w:cs="Times New Roman"/>
        </w:rPr>
        <w:t xml:space="preserve">U 2026. godini sredstva su planirana za provedbu edukacije osoblja koje sudjeluje u provedbi Plana intervencija kod iznenadnih onečišćenja mora, redovito periodičko servisiranje opreme prvog EAS-HR sustava, osiguranje opreme, te ostale neophodne nabave rezervnih dijelova i sl., a koja će se redovito izvršavati i u daljnjem razdoblju.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Uspostava 3 EAS-HR centra na području priobalnih županija, opremljenih specijaliziranom opremom (brane, skimmeri, ostala oprema) za provedbu mjera suzbijanja onečišćenja mora velikih razmjera, te ograničavanja šteta u morskom okolišu i gospodarstvu</w:t>
            </w:r>
          </w:p>
        </w:tc>
        <w:tc>
          <w:tcPr>
            <w:tcW w:w="2245.32" w:type="dxa"/>
            <w:vAlign w:val="center"/>
          </w:tcPr>
          <w:p>
            <w:pPr>
              <w:jc w:val="both"/>
              <w:pStyle w:val="CellColumn"/>
            </w:pPr>
            <w:r>
              <w:rPr>
                <w:rFonts w:hAnsi="Times New Roman" w:cs="Times New Roman"/>
              </w:rPr>
              <w:t xml:space="preserve">Primjereni odgovor na iznenadna onečišćenja odnosno učinkovito reagiranje po Planu intervencija kod iznenadnih onečišćenja mora i Subregionalnom planu intervencija za sprječavanje, spremnost za i reagiranje na iznenadna onečišćenja Jadranskog mora većih razmjera s pomorskih objekata, radi dostupnosti specijalizirane opreme za provedbu intervencija u slučaju onečišćenja mora velikih razmjera, razmještene u logističke centre duž Jadranske obale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2,5</w:t>
            </w:r>
          </w:p>
        </w:tc>
      </w:tr>
    </w:tbl>
    <w:p>
      <w:pPr>
        <w:jc w:val="left"/>
      </w:pPr>
      <w:r>
        <w:rPr>
          <w:rFonts w:hAnsi="Times New Roman" w:cs="Times New Roman"/>
        </w:rPr>
        <w:t xml:space="preserve"/>
      </w:r>
    </w:p>
    <w:p>
      <w:pPr>
        <w:jc w:val="left"/>
        <w:pStyle w:val="Heading3"/>
      </w:pPr>
      <w:r>
        <w:rPr>
          <w:rFonts w:hAnsi="Times New Roman" w:cs="Times New Roman"/>
        </w:rPr>
        <w:t xml:space="preserve">3110 IZGRADNJA I ODRŽAVANJE CESTOVNE INFRASTRUKTURE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3110-IZGRADNJA I ODRŽAVANJE CESTOVNE INFRASTRUKTURE</w:t>
            </w:r>
          </w:p>
        </w:tc>
        <w:tc>
          <w:tcPr>
            <w:tcW w:w="1632.96" w:type="dxa"/>
            <w:vAlign w:val="center"/>
          </w:tcPr>
          <w:p>
            <w:pPr>
              <w:jc w:val="both"/>
              <w:pStyle w:val="CellColumn"/>
            </w:pPr>
            <w:r>
              <w:rPr>
                <w:rFonts w:hAnsi="Times New Roman" w:cs="Times New Roman"/>
              </w:rPr>
              <w:t xml:space="preserve">459.460.001</w:t>
            </w:r>
          </w:p>
        </w:tc>
        <w:tc>
          <w:tcPr>
            <w:tcW w:w="1632.96" w:type="dxa"/>
            <w:vAlign w:val="center"/>
          </w:tcPr>
          <w:p>
            <w:pPr>
              <w:jc w:val="both"/>
              <w:pStyle w:val="CellColumn"/>
            </w:pPr>
            <w:r>
              <w:rPr>
                <w:rFonts w:hAnsi="Times New Roman" w:cs="Times New Roman"/>
              </w:rPr>
              <w:t xml:space="preserve">444.534.044</w:t>
            </w:r>
          </w:p>
        </w:tc>
        <w:tc>
          <w:tcPr>
            <w:tcW w:w="1632.96" w:type="dxa"/>
            <w:vAlign w:val="center"/>
          </w:tcPr>
          <w:p>
            <w:pPr>
              <w:jc w:val="both"/>
              <w:pStyle w:val="CellColumn"/>
            </w:pPr>
            <w:r>
              <w:rPr>
                <w:rFonts w:hAnsi="Times New Roman" w:cs="Times New Roman"/>
              </w:rPr>
              <w:t xml:space="preserve">462.431.872</w:t>
            </w:r>
          </w:p>
        </w:tc>
        <w:tc>
          <w:tcPr>
            <w:tcW w:w="1632.96" w:type="dxa"/>
            <w:vAlign w:val="center"/>
          </w:tcPr>
          <w:p>
            <w:pPr>
              <w:jc w:val="both"/>
              <w:pStyle w:val="CellColumn"/>
            </w:pPr>
            <w:r>
              <w:rPr>
                <w:rFonts w:hAnsi="Times New Roman" w:cs="Times New Roman"/>
              </w:rPr>
              <w:t xml:space="preserve">459.846.365</w:t>
            </w:r>
          </w:p>
        </w:tc>
        <w:tc>
          <w:tcPr>
            <w:tcW w:w="1632.96" w:type="dxa"/>
            <w:vAlign w:val="center"/>
          </w:tcPr>
          <w:p>
            <w:pPr>
              <w:jc w:val="both"/>
              <w:pStyle w:val="CellColumn"/>
            </w:pPr>
            <w:r>
              <w:rPr>
                <w:rFonts w:hAnsi="Times New Roman" w:cs="Times New Roman"/>
              </w:rPr>
              <w:t xml:space="preserve">442.673.744</w:t>
            </w:r>
          </w:p>
        </w:tc>
        <w:tc>
          <w:tcPr>
            <w:tcW w:w="510.3" w:type="dxa"/>
            <w:vAlign w:val="center"/>
          </w:tcPr>
          <w:p>
            <w:pPr>
              <w:jc w:val="both"/>
              <w:pStyle w:val="CellColumn"/>
            </w:pPr>
            <w:r>
              <w:rPr>
                <w:rFonts w:hAnsi="Times New Roman" w:cs="Times New Roman"/>
              </w:rPr>
              <w:t xml:space="preserve">104,0</w:t>
            </w:r>
          </w:p>
        </w:tc>
      </w:tr>
    </w:tbl>
    <w:p>
      <w:pPr>
        <w:jc w:val="left"/>
      </w:pPr>
      <w:r>
        <w:rPr>
          <w:rFonts w:hAnsi="Times New Roman" w:cs="Times New Roman"/>
        </w:rPr>
        <w:t xml:space="preserve"/>
      </w:r>
    </w:p>
    <w:p>
      <w:pPr>
        <w:jc w:val="left"/>
        <w:pStyle w:val="Heading7"/>
      </w:pPr>
      <w:r>
        <w:rPr>
          <w:rFonts w:hAnsi="Times New Roman" w:cs="Times New Roman"/>
        </w:rPr>
        <w:t xml:space="preserve">Cilj 1. Razvijen sustav cestovnog prometa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Smanjenje udjela cesta s lošim i vrlo lošim stanjem kolnika</w:t>
            </w:r>
          </w:p>
        </w:tc>
        <w:tc>
          <w:tcPr>
            <w:tcW w:w="2245.32" w:type="dxa"/>
            <w:vAlign w:val="center"/>
          </w:tcPr>
          <w:p>
            <w:pPr>
              <w:jc w:val="both"/>
              <w:pStyle w:val="CellColumn"/>
            </w:pPr>
            <w:r>
              <w:rPr>
                <w:rFonts w:hAnsi="Times New Roman" w:cs="Times New Roman"/>
              </w:rPr>
              <w:t xml:space="preserve">Smanjenjem udjela cesta s lošim i vrlo lošim stanjem kolnika povećava se sigurnost i kvaliteta u odvijanju cestovnog prometa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26</w:t>
            </w:r>
          </w:p>
        </w:tc>
        <w:tc>
          <w:tcPr>
            <w:tcW w:w="918.54" w:type="dxa"/>
            <w:vAlign w:val="center"/>
          </w:tcPr>
          <w:p>
            <w:pPr>
              <w:jc w:val="both"/>
              <w:pStyle w:val="CellColumn"/>
            </w:pPr>
            <w:r>
              <w:rPr>
                <w:rFonts w:hAnsi="Times New Roman" w:cs="Times New Roman"/>
              </w:rPr>
              <w:t xml:space="preserve">Hrvatske ceste d.o.o.</w:t>
            </w:r>
          </w:p>
        </w:tc>
        <w:tc>
          <w:tcPr>
            <w:tcW w:w="918.54" w:type="dxa"/>
            <w:vAlign w:val="center"/>
          </w:tcPr>
          <w:p>
            <w:pPr>
              <w:jc w:val="both"/>
              <w:pStyle w:val="CellColumn"/>
            </w:pPr>
            <w:r>
              <w:rPr>
                <w:rFonts w:hAnsi="Times New Roman" w:cs="Times New Roman"/>
              </w:rPr>
              <w:t xml:space="preserve">26</w:t>
            </w:r>
          </w:p>
        </w:tc>
        <w:tc>
          <w:tcPr>
            <w:tcW w:w="918.54" w:type="dxa"/>
            <w:vAlign w:val="center"/>
          </w:tcPr>
          <w:p>
            <w:pPr>
              <w:jc w:val="both"/>
              <w:pStyle w:val="CellColumn"/>
            </w:pPr>
            <w:r>
              <w:rPr>
                <w:rFonts w:hAnsi="Times New Roman" w:cs="Times New Roman"/>
              </w:rPr>
              <w:t xml:space="preserve">26</w:t>
            </w:r>
          </w:p>
        </w:tc>
        <w:tc>
          <w:tcPr>
            <w:tcW w:w="918.54" w:type="dxa"/>
            <w:vAlign w:val="center"/>
          </w:tcPr>
          <w:p>
            <w:pPr>
              <w:jc w:val="both"/>
              <w:pStyle w:val="CellColumn"/>
            </w:pPr>
            <w:r>
              <w:rPr>
                <w:rFonts w:hAnsi="Times New Roman" w:cs="Times New Roman"/>
              </w:rPr>
              <w:t xml:space="preserve">26</w:t>
            </w:r>
          </w:p>
        </w:tc>
      </w:tr>
    </w:tbl>
    <w:p>
      <w:pPr>
        <w:jc w:val="left"/>
      </w:pPr>
      <w:r>
        <w:rPr>
          <w:rFonts w:hAnsi="Times New Roman" w:cs="Times New Roman"/>
        </w:rPr>
        <w:t xml:space="preserve"/>
      </w:r>
    </w:p>
    <w:p>
      <w:pPr>
        <w:jc w:val="left"/>
        <w:pStyle w:val="Heading4"/>
      </w:pPr>
      <w:r>
        <w:rPr>
          <w:rFonts w:hAnsi="Times New Roman" w:cs="Times New Roman"/>
        </w:rPr>
        <w:t xml:space="preserve">A570504 NAKNADA U CIJENI GORIVA ZA HAC D.O.O.</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cestama, članak 91.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A570504-NAKNADA U CIJENI GORIVA ZA HAC D.O.O.</w:t>
            </w:r>
          </w:p>
        </w:tc>
        <w:tc>
          <w:tcPr>
            <w:tcW w:w="1632.96" w:type="dxa"/>
            <w:vAlign w:val="center"/>
          </w:tcPr>
          <w:p>
            <w:pPr>
              <w:jc w:val="both"/>
              <w:pStyle w:val="CellColumn"/>
            </w:pPr>
            <w:r>
              <w:rPr>
                <w:rFonts w:hAnsi="Times New Roman" w:cs="Times New Roman"/>
              </w:rPr>
              <w:t xml:space="preserve">56.000.000</w:t>
            </w:r>
          </w:p>
        </w:tc>
        <w:tc>
          <w:tcPr>
            <w:tcW w:w="1632.96" w:type="dxa"/>
            <w:vAlign w:val="center"/>
          </w:tcPr>
          <w:p>
            <w:pPr>
              <w:jc w:val="both"/>
              <w:pStyle w:val="CellColumn"/>
            </w:pPr>
            <w:r>
              <w:rPr>
                <w:rFonts w:hAnsi="Times New Roman" w:cs="Times New Roman"/>
              </w:rPr>
              <w:t xml:space="preserve">19.000.000</w:t>
            </w:r>
          </w:p>
        </w:tc>
        <w:tc>
          <w:tcPr>
            <w:tcW w:w="1632.96" w:type="dxa"/>
            <w:vAlign w:val="center"/>
          </w:tcPr>
          <w:p>
            <w:pPr>
              <w:jc w:val="both"/>
              <w:pStyle w:val="CellColumn"/>
            </w:pPr>
            <w:r>
              <w:rPr>
                <w:rFonts w:hAnsi="Times New Roman" w:cs="Times New Roman"/>
              </w:rPr>
              <w:t xml:space="preserve">19.000.000</w:t>
            </w:r>
          </w:p>
        </w:tc>
        <w:tc>
          <w:tcPr>
            <w:tcW w:w="1632.96" w:type="dxa"/>
            <w:vAlign w:val="center"/>
          </w:tcPr>
          <w:p>
            <w:pPr>
              <w:jc w:val="both"/>
              <w:pStyle w:val="CellColumn"/>
            </w:pPr>
            <w:r>
              <w:rPr>
                <w:rFonts w:hAnsi="Times New Roman" w:cs="Times New Roman"/>
              </w:rPr>
              <w:t xml:space="preserve">19.000.000</w:t>
            </w:r>
          </w:p>
        </w:tc>
        <w:tc>
          <w:tcPr>
            <w:tcW w:w="1632.96" w:type="dxa"/>
            <w:vAlign w:val="center"/>
          </w:tcPr>
          <w:p>
            <w:pPr>
              <w:jc w:val="both"/>
              <w:pStyle w:val="CellColumn"/>
            </w:pPr>
            <w:r>
              <w:rPr>
                <w:rFonts w:hAnsi="Times New Roman" w:cs="Times New Roman"/>
              </w:rPr>
              <w:t xml:space="preserve">19.000.000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Temeljem Zakona o cestama, na račun Hrvatskih autocesta d.o.o. uplaćuje se naknada u cijeni goriva po litri naplaćene trošarine na energente u iznosu od 0,03 eura za financiranje građenja i održavanja javnih cesta te povrat kredita. Naknada se isplaćuje najviše do iznosa koji je za te namjene osiguran u državnom proračunu za pojedinu proračunsku godinu. Navedena aktivnost provodi se kontinuirano dok postoji zakonska obveza.  
</w:t>
      </w:r>
    </w:p>
    <w:p>
      <w:pPr>
        <w:jc w:val="both"/>
        <w:pStyle w:val="Normal"/>
      </w:pPr>
      <w:r>
        <w:rPr>
          <w:rFonts w:hAnsi="Times New Roman" w:cs="Times New Roman"/>
        </w:rPr>
        <w:t xml:space="preserve">Hrvatske autoceste d.o.o. planiraju u narednom trogodišnjem razdoblju sredstva utrošiti na izvanredno održavanje autocesta.
</w:t>
      </w:r>
    </w:p>
    <w:p>
      <w:pPr>
        <w:jc w:val="both"/>
        <w:pStyle w:val="Normal"/>
      </w:pPr>
      <w:r>
        <w:rPr>
          <w:rFonts w:hAnsi="Times New Roman" w:cs="Times New Roman"/>
        </w:rPr>
        <w:t xml:space="preserve">Planirana proračunska sredstva od naknade u cijeni goriva za HAC d.o.o., sukladno namjeni, a prema Zakonu o cestama po godinama, iskoristit će se za financiranje kako slijedi:  
</w:t>
      </w:r>
    </w:p>
    <w:p>
      <w:pPr>
        <w:jc w:val="both"/>
        <w:pStyle w:val="Normal"/>
      </w:pPr>
      <w:r>
        <w:rPr>
          <w:rFonts w:hAnsi="Times New Roman" w:cs="Times New Roman"/>
        </w:rPr>
        <w:t xml:space="preserve">-	u 2026. godini izvanredno održavanje autocesta u iznosu od 19.000.000 eura  
</w:t>
      </w:r>
    </w:p>
    <w:p>
      <w:pPr>
        <w:jc w:val="both"/>
        <w:pStyle w:val="Normal"/>
      </w:pPr>
      <w:r>
        <w:rPr>
          <w:rFonts w:hAnsi="Times New Roman" w:cs="Times New Roman"/>
        </w:rPr>
        <w:t xml:space="preserve">-	u 2027. godini izvanredno održavanje autocesta u iznosu od 19.000.000 eura  
</w:t>
      </w:r>
    </w:p>
    <w:p>
      <w:pPr>
        <w:jc w:val="both"/>
        <w:pStyle w:val="Normal"/>
      </w:pPr>
      <w:r>
        <w:rPr>
          <w:rFonts w:hAnsi="Times New Roman" w:cs="Times New Roman"/>
        </w:rPr>
        <w:t xml:space="preserve">-	u 2028. godini izvanredno održavanje autocesta u iznosu od 19.000.000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kilometara novoizgrađenih autocesta i državnih cesta u nadležnosti HAC-a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Ministarstvo uplaćuje sredstva HAC-u temeljem Zakona o cestama te su sredstva namijenjena za izgradnju autocesta i državnih cesta</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Upravitelj autocesta   
</w:t>
            </w:r>
          </w:p>
          <w:p>
            <w:pPr>
              <w:jc w:val="both"/>
              <w:pStyle w:val="CellColumn"/>
            </w:pPr>
            <w:r>
              <w:rPr>
                <w:rFonts w:hAnsi="Times New Roman" w:cs="Times New Roman"/>
              </w:rPr>
              <w:t xml:space="preserve">(HAC)</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Broj kilometara investicijski održavanih autocesta u nadležnosti HAC-a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Ministarstvo uplaćuje sredstva HAC-u temeljem Zakona o cestama te su sredstva namijenjena za održavanje autocesta</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44</w:t>
            </w:r>
          </w:p>
        </w:tc>
        <w:tc>
          <w:tcPr>
            <w:tcW w:w="918.54" w:type="dxa"/>
            <w:vAlign w:val="center"/>
          </w:tcPr>
          <w:p>
            <w:pPr>
              <w:jc w:val="both"/>
              <w:pStyle w:val="CellColumn"/>
            </w:pPr>
            <w:r>
              <w:rPr>
                <w:rFonts w:hAnsi="Times New Roman" w:cs="Times New Roman"/>
              </w:rPr>
              <w:t xml:space="preserve">Upravitelj autocesta  
</w:t>
            </w:r>
          </w:p>
          <w:p>
            <w:pPr>
              <w:jc w:val="both"/>
              <w:pStyle w:val="CellColumn"/>
            </w:pPr>
            <w:r>
              <w:rPr>
                <w:rFonts w:hAnsi="Times New Roman" w:cs="Times New Roman"/>
              </w:rPr>
              <w:t xml:space="preserve">(HAC)</w:t>
            </w:r>
          </w:p>
        </w:tc>
        <w:tc>
          <w:tcPr>
            <w:tcW w:w="918.54" w:type="dxa"/>
            <w:vAlign w:val="center"/>
          </w:tcPr>
          <w:p>
            <w:pPr>
              <w:jc w:val="both"/>
              <w:pStyle w:val="CellColumn"/>
            </w:pPr>
            <w:r>
              <w:rPr>
                <w:rFonts w:hAnsi="Times New Roman" w:cs="Times New Roman"/>
              </w:rPr>
              <w:t xml:space="preserve">50</w:t>
            </w:r>
          </w:p>
        </w:tc>
        <w:tc>
          <w:tcPr>
            <w:tcW w:w="918.54" w:type="dxa"/>
            <w:vAlign w:val="center"/>
          </w:tcPr>
          <w:p>
            <w:pPr>
              <w:jc w:val="both"/>
              <w:pStyle w:val="CellColumn"/>
            </w:pPr>
            <w:r>
              <w:rPr>
                <w:rFonts w:hAnsi="Times New Roman" w:cs="Times New Roman"/>
              </w:rPr>
              <w:t xml:space="preserve">50</w:t>
            </w:r>
          </w:p>
        </w:tc>
        <w:tc>
          <w:tcPr>
            <w:tcW w:w="918.54" w:type="dxa"/>
            <w:vAlign w:val="center"/>
          </w:tcPr>
          <w:p>
            <w:pPr>
              <w:jc w:val="both"/>
              <w:pStyle w:val="CellColumn"/>
            </w:pPr>
            <w:r>
              <w:rPr>
                <w:rFonts w:hAnsi="Times New Roman" w:cs="Times New Roman"/>
              </w:rPr>
              <w:t xml:space="preserve">50</w:t>
            </w:r>
          </w:p>
        </w:tc>
      </w:tr>
    </w:tbl>
    <w:p>
      <w:pPr>
        <w:jc w:val="left"/>
      </w:pPr>
      <w:r>
        <w:rPr>
          <w:rFonts w:hAnsi="Times New Roman" w:cs="Times New Roman"/>
        </w:rPr>
        <w:t xml:space="preserve"/>
      </w:r>
    </w:p>
    <w:p>
      <w:pPr>
        <w:jc w:val="left"/>
        <w:pStyle w:val="Heading4"/>
      </w:pPr>
      <w:r>
        <w:rPr>
          <w:rFonts w:hAnsi="Times New Roman" w:cs="Times New Roman"/>
        </w:rPr>
        <w:t xml:space="preserve">A570506 NAKNADA U CIJENI GORIVA ZA HC D.O.O.</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cestama, članak 91.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A570506-NAKNADA U CIJENI GORIVA ZA HC D.O.O.</w:t>
            </w:r>
          </w:p>
        </w:tc>
        <w:tc>
          <w:tcPr>
            <w:tcW w:w="1632.96" w:type="dxa"/>
            <w:vAlign w:val="center"/>
          </w:tcPr>
          <w:p>
            <w:pPr>
              <w:jc w:val="both"/>
              <w:pStyle w:val="CellColumn"/>
            </w:pPr>
            <w:r>
              <w:rPr>
                <w:rFonts w:hAnsi="Times New Roman" w:cs="Times New Roman"/>
              </w:rPr>
              <w:t xml:space="preserve">318.121.176</w:t>
            </w:r>
          </w:p>
        </w:tc>
        <w:tc>
          <w:tcPr>
            <w:tcW w:w="1632.96" w:type="dxa"/>
            <w:vAlign w:val="center"/>
          </w:tcPr>
          <w:p>
            <w:pPr>
              <w:jc w:val="both"/>
              <w:pStyle w:val="CellColumn"/>
            </w:pPr>
            <w:r>
              <w:rPr>
                <w:rFonts w:hAnsi="Times New Roman" w:cs="Times New Roman"/>
              </w:rPr>
              <w:t xml:space="preserve">350.050.491</w:t>
            </w:r>
          </w:p>
        </w:tc>
        <w:tc>
          <w:tcPr>
            <w:tcW w:w="1632.96" w:type="dxa"/>
            <w:vAlign w:val="center"/>
          </w:tcPr>
          <w:p>
            <w:pPr>
              <w:jc w:val="both"/>
              <w:pStyle w:val="CellColumn"/>
            </w:pPr>
            <w:r>
              <w:rPr>
                <w:rFonts w:hAnsi="Times New Roman" w:cs="Times New Roman"/>
              </w:rPr>
              <w:t xml:space="preserve">355.121.176</w:t>
            </w:r>
          </w:p>
        </w:tc>
        <w:tc>
          <w:tcPr>
            <w:tcW w:w="1632.96" w:type="dxa"/>
            <w:vAlign w:val="center"/>
          </w:tcPr>
          <w:p>
            <w:pPr>
              <w:jc w:val="both"/>
              <w:pStyle w:val="CellColumn"/>
            </w:pPr>
            <w:r>
              <w:rPr>
                <w:rFonts w:hAnsi="Times New Roman" w:cs="Times New Roman"/>
              </w:rPr>
              <w:t xml:space="preserve">355.121.176</w:t>
            </w:r>
          </w:p>
        </w:tc>
        <w:tc>
          <w:tcPr>
            <w:tcW w:w="1632.96" w:type="dxa"/>
            <w:vAlign w:val="center"/>
          </w:tcPr>
          <w:p>
            <w:pPr>
              <w:jc w:val="both"/>
              <w:pStyle w:val="CellColumn"/>
            </w:pPr>
            <w:r>
              <w:rPr>
                <w:rFonts w:hAnsi="Times New Roman" w:cs="Times New Roman"/>
              </w:rPr>
              <w:t xml:space="preserve">355.121.176</w:t>
            </w:r>
          </w:p>
        </w:tc>
        <w:tc>
          <w:tcPr>
            <w:tcW w:w="510.3" w:type="dxa"/>
            <w:vAlign w:val="center"/>
          </w:tcPr>
          <w:p>
            <w:pPr>
              <w:jc w:val="both"/>
              <w:pStyle w:val="CellColumn"/>
            </w:pPr>
            <w:r>
              <w:rPr>
                <w:rFonts w:hAnsi="Times New Roman" w:cs="Times New Roman"/>
              </w:rPr>
              <w:t xml:space="preserve">101,4</w:t>
            </w:r>
          </w:p>
        </w:tc>
      </w:tr>
    </w:tbl>
    <w:p>
      <w:pPr>
        <w:jc w:val="left"/>
      </w:pPr>
      <w:r>
        <w:rPr>
          <w:rFonts w:hAnsi="Times New Roman" w:cs="Times New Roman"/>
        </w:rPr>
        <w:t xml:space="preserve"/>
      </w:r>
    </w:p>
    <w:p>
      <w:pPr>
        <w:jc w:val="both"/>
        <w:pStyle w:val="Normal"/>
      </w:pPr>
      <w:r>
        <w:rPr>
          <w:rFonts w:hAnsi="Times New Roman" w:cs="Times New Roman"/>
        </w:rPr>
        <w:t xml:space="preserve">Temeljem Zakona o cestama, naknada za financiranje građenja i održavanja javnih cesta na račun Hrvatskih cesta d.o.o. uplaćuje se naknada u cijeni goriva po litri naplaćene trošarine na energente u iznosu od 0,11 eura, do iznosa planiranog u Proračunu. Navedena aktivnost provodi se kontinuirano dok postoji zakonska obveza/osnova.   
</w:t>
      </w:r>
    </w:p>
    <w:p>
      <w:pPr>
        <w:jc w:val="both"/>
        <w:pStyle w:val="Normal"/>
      </w:pPr>
      <w:r>
        <w:rPr>
          <w:rFonts w:hAnsi="Times New Roman" w:cs="Times New Roman"/>
        </w:rPr>
        <w:t xml:space="preserve">Hrvatske ceste d.o.o. planiraju u narednom trogodišnjem razdoblju sredstva utrošiti na sljedeće aktivnosti: investicije u izgradnju državnih cesta, investicijsko održavanje i rekonstrukcija državnih cesta, investicije u nabavu ostale dugotrajne imovine, redovito i izvanredno održavanje državnih cesta, dio troškova upravljanja, sufinanciranje nerazvrstanih cesta, troškovi studija i razvojnih priprema te troškovi financijskih izdataka za servisiranje dugova.  
</w:t>
      </w:r>
    </w:p>
    <w:p>
      <w:pPr>
        <w:jc w:val="both"/>
        <w:pStyle w:val="Normal"/>
      </w:pPr>
      <w:r>
        <w:rPr>
          <w:rFonts w:hAnsi="Times New Roman" w:cs="Times New Roman"/>
        </w:rPr>
        <w:t xml:space="preserve">Planirana proračunska sredstva od naknade u cijeni goriva za HC d.o.o. sukladno namjeni definiranoj Zakonom o cestama po godinama, iskoristit će se za financiranje aktivnosti kako slijedi:   
</w:t>
      </w:r>
    </w:p>
    <w:p>
      <w:pPr>
        <w:jc w:val="both"/>
        <w:pStyle w:val="Normal"/>
      </w:pPr>
      <w:r>
        <w:rPr>
          <w:rFonts w:hAnsi="Times New Roman" w:cs="Times New Roman"/>
        </w:rPr>
        <w:t xml:space="preserve">U 2026. godini od ukupno planiranih 355.121.176 eura:  
</w:t>
      </w:r>
    </w:p>
    <w:p>
      <w:pPr>
        <w:jc w:val="both"/>
        <w:pStyle w:val="Normal"/>
      </w:pPr>
      <w:r>
        <w:rPr>
          <w:rFonts w:hAnsi="Times New Roman" w:cs="Times New Roman"/>
        </w:rPr>
        <w:t xml:space="preserve">- izgradnja državnih cesta, uključivo aktivnosti rješavanja imovinsko-pravnih odnosa, projektiranja i nadzora radova, u iznosu od 20.951.204 eura  
</w:t>
      </w:r>
    </w:p>
    <w:p>
      <w:pPr>
        <w:jc w:val="both"/>
        <w:pStyle w:val="Normal"/>
      </w:pPr>
      <w:r>
        <w:rPr>
          <w:rFonts w:hAnsi="Times New Roman" w:cs="Times New Roman"/>
        </w:rPr>
        <w:t xml:space="preserve">- investicijsko održavanje i rekonstrukciju državnih cesta, uključivo troškove rješavanja imovinsko pravnih odnosa, projektiranja i nadzora radova, u iznosu od 83.883.017 eura  
</w:t>
      </w:r>
    </w:p>
    <w:p>
      <w:pPr>
        <w:jc w:val="both"/>
        <w:pStyle w:val="Normal"/>
      </w:pPr>
      <w:r>
        <w:rPr>
          <w:rFonts w:hAnsi="Times New Roman" w:cs="Times New Roman"/>
        </w:rPr>
        <w:t xml:space="preserve">- nabava ostale dugotrajne imovine, u iznosu od 16.498.900 eura 
</w:t>
      </w:r>
    </w:p>
    <w:p>
      <w:pPr>
        <w:jc w:val="both"/>
        <w:pStyle w:val="Normal"/>
      </w:pPr>
      <w:r>
        <w:rPr>
          <w:rFonts w:hAnsi="Times New Roman" w:cs="Times New Roman"/>
        </w:rPr>
        <w:t xml:space="preserve">- troškovi redovitog i izvanrednog održavanja državnih cesta, u iznosu od 105.470.400 eura    
</w:t>
      </w:r>
    </w:p>
    <w:p>
      <w:pPr>
        <w:jc w:val="both"/>
        <w:pStyle w:val="Normal"/>
      </w:pPr>
      <w:r>
        <w:rPr>
          <w:rFonts w:hAnsi="Times New Roman" w:cs="Times New Roman"/>
        </w:rPr>
        <w:t xml:space="preserve">- troškovi upravljanja, u iznosu od 40.566.465 eura  
</w:t>
      </w:r>
    </w:p>
    <w:p>
      <w:pPr>
        <w:jc w:val="both"/>
        <w:pStyle w:val="Normal"/>
      </w:pPr>
      <w:r>
        <w:rPr>
          <w:rFonts w:hAnsi="Times New Roman" w:cs="Times New Roman"/>
        </w:rPr>
        <w:t xml:space="preserve">- sufinanciranje nerazvrstanih cesta, u iznosu od 2.000.000 eura  
</w:t>
      </w:r>
    </w:p>
    <w:p>
      <w:pPr>
        <w:jc w:val="both"/>
        <w:pStyle w:val="Normal"/>
      </w:pPr>
      <w:r>
        <w:rPr>
          <w:rFonts w:hAnsi="Times New Roman" w:cs="Times New Roman"/>
        </w:rPr>
        <w:t xml:space="preserve">- troškovi studija i razvojnih priprema i uknjižba zemljišta, u iznosu  od 550.000 eura  
</w:t>
      </w:r>
    </w:p>
    <w:p>
      <w:pPr>
        <w:jc w:val="both"/>
        <w:pStyle w:val="Normal"/>
      </w:pPr>
      <w:r>
        <w:rPr>
          <w:rFonts w:hAnsi="Times New Roman" w:cs="Times New Roman"/>
        </w:rPr>
        <w:t xml:space="preserve">- troškovi financijskih izdataka za servisiranje dugova, u iznosu od 85.201.190 eura  
</w:t>
      </w:r>
    </w:p>
    <w:p>
      <w:pPr>
        <w:jc w:val="both"/>
        <w:pStyle w:val="Normal"/>
      </w:pPr>
      <w:r>
        <w:rPr>
          <w:rFonts w:hAnsi="Times New Roman" w:cs="Times New Roman"/>
        </w:rPr>
        <w:t xml:space="preserve">
</w:t>
      </w:r>
    </w:p>
    <w:p>
      <w:pPr>
        <w:jc w:val="both"/>
        <w:pStyle w:val="Normal"/>
      </w:pPr>
      <w:r>
        <w:rPr>
          <w:rFonts w:hAnsi="Times New Roman" w:cs="Times New Roman"/>
        </w:rPr>
        <w:t xml:space="preserve">U 2027. godini od ukupno planiranih 355.121.176 eura:  
</w:t>
      </w:r>
    </w:p>
    <w:p>
      <w:pPr>
        <w:jc w:val="both"/>
        <w:pStyle w:val="Normal"/>
      </w:pPr>
      <w:r>
        <w:rPr>
          <w:rFonts w:hAnsi="Times New Roman" w:cs="Times New Roman"/>
        </w:rPr>
        <w:t xml:space="preserve">- izgradnja državnih cesta, uključivo aktivnosti rješavanja imovinsko-pravnih odnosa, projektiranja i nadzora radova, u iznosu od 14.161.056 eura  
</w:t>
      </w:r>
    </w:p>
    <w:p>
      <w:pPr>
        <w:jc w:val="both"/>
        <w:pStyle w:val="Normal"/>
      </w:pPr>
      <w:r>
        <w:rPr>
          <w:rFonts w:hAnsi="Times New Roman" w:cs="Times New Roman"/>
        </w:rPr>
        <w:t xml:space="preserve">- investicijsko održavanje i rekonstrukciju državnih cesta, uključivo troškove rješavanja imovinsko-pravnih odnosa, projektiranja i nadzora radova, u iznosu od 64.749.464 eura  
</w:t>
      </w:r>
    </w:p>
    <w:p>
      <w:pPr>
        <w:jc w:val="both"/>
        <w:pStyle w:val="Normal"/>
      </w:pPr>
      <w:r>
        <w:rPr>
          <w:rFonts w:hAnsi="Times New Roman" w:cs="Times New Roman"/>
        </w:rPr>
        <w:t xml:space="preserve">- nabava ostale dugotrajne imovine, u iznosu od 19.218.900 eura   
</w:t>
      </w:r>
    </w:p>
    <w:p>
      <w:pPr>
        <w:jc w:val="both"/>
        <w:pStyle w:val="Normal"/>
      </w:pPr>
      <w:r>
        <w:rPr>
          <w:rFonts w:hAnsi="Times New Roman" w:cs="Times New Roman"/>
        </w:rPr>
        <w:t xml:space="preserve">- troškovi redovitog i izvanrednog održavanja državnih cesta, u iznosu od 107.459.808 eura  
</w:t>
      </w:r>
    </w:p>
    <w:p>
      <w:pPr>
        <w:jc w:val="both"/>
        <w:pStyle w:val="Normal"/>
      </w:pPr>
      <w:r>
        <w:rPr>
          <w:rFonts w:hAnsi="Times New Roman" w:cs="Times New Roman"/>
        </w:rPr>
        <w:t xml:space="preserve">- troškovi upravljanja, u iznosu od 43.095.755 eura  
</w:t>
      </w:r>
    </w:p>
    <w:p>
      <w:pPr>
        <w:jc w:val="both"/>
        <w:pStyle w:val="Normal"/>
      </w:pPr>
      <w:r>
        <w:rPr>
          <w:rFonts w:hAnsi="Times New Roman" w:cs="Times New Roman"/>
        </w:rPr>
        <w:t xml:space="preserve">- sufinanciranje nerazvrstanih cesta, u iznosu od 2.000.000 eura  
</w:t>
      </w:r>
    </w:p>
    <w:p>
      <w:pPr>
        <w:jc w:val="both"/>
        <w:pStyle w:val="Normal"/>
      </w:pPr>
      <w:r>
        <w:rPr>
          <w:rFonts w:hAnsi="Times New Roman" w:cs="Times New Roman"/>
        </w:rPr>
        <w:t xml:space="preserve">- troškovi studija i razvojnih priprema i uknjižba zemljišta, u iznosu od 550.000 eura  
</w:t>
      </w:r>
    </w:p>
    <w:p>
      <w:pPr>
        <w:jc w:val="both"/>
        <w:pStyle w:val="Normal"/>
      </w:pPr>
      <w:r>
        <w:rPr>
          <w:rFonts w:hAnsi="Times New Roman" w:cs="Times New Roman"/>
        </w:rPr>
        <w:t xml:space="preserve">- troškovi financijskih izdataka za servisiranje dugova, u iznosu od 103.886.193 eura  
</w:t>
      </w:r>
    </w:p>
    <w:p>
      <w:pPr>
        <w:jc w:val="both"/>
        <w:pStyle w:val="Normal"/>
      </w:pPr>
      <w:r>
        <w:rPr>
          <w:rFonts w:hAnsi="Times New Roman" w:cs="Times New Roman"/>
        </w:rPr>
        <w:t xml:space="preserve">U 2028. godini od ukupno planiranih 355.121.176 eura:  
</w:t>
      </w:r>
    </w:p>
    <w:p>
      <w:pPr>
        <w:jc w:val="both"/>
        <w:pStyle w:val="Normal"/>
      </w:pPr>
      <w:r>
        <w:rPr>
          <w:rFonts w:hAnsi="Times New Roman" w:cs="Times New Roman"/>
        </w:rPr>
        <w:t xml:space="preserve">- izgradnja državnih cesta, uključivo aktivnosti rješavanja imovinsko-pravnih odnosa, projektiranja i nadzora radova, u iznosu od 13.427.041 eura  
</w:t>
      </w:r>
    </w:p>
    <w:p>
      <w:pPr>
        <w:jc w:val="both"/>
        <w:pStyle w:val="Normal"/>
      </w:pPr>
      <w:r>
        <w:rPr>
          <w:rFonts w:hAnsi="Times New Roman" w:cs="Times New Roman"/>
        </w:rPr>
        <w:t xml:space="preserve">- investicijsko održavanje i rekonstrukciju državnih cesta, uključivo troškove rješavanja imovinsko-pravnih odnosa, projektiranja i nadzora radova, u iznosu od 34.936.147 eura  
</w:t>
      </w:r>
    </w:p>
    <w:p>
      <w:pPr>
        <w:jc w:val="both"/>
        <w:pStyle w:val="Normal"/>
      </w:pPr>
      <w:r>
        <w:rPr>
          <w:rFonts w:hAnsi="Times New Roman" w:cs="Times New Roman"/>
        </w:rPr>
        <w:t xml:space="preserve">- nabavu ostale dugotrajne imovine, u iznosu od 28.080.083 eura  
</w:t>
      </w:r>
    </w:p>
    <w:p>
      <w:pPr>
        <w:jc w:val="both"/>
        <w:pStyle w:val="Normal"/>
      </w:pPr>
      <w:r>
        <w:rPr>
          <w:rFonts w:hAnsi="Times New Roman" w:cs="Times New Roman"/>
        </w:rPr>
        <w:t xml:space="preserve">- troškovi redovitog i izvanrednog održavanja državnih cesta, u iznosu od 114.000.000 eura  
</w:t>
      </w:r>
    </w:p>
    <w:p>
      <w:pPr>
        <w:jc w:val="both"/>
        <w:pStyle w:val="Normal"/>
      </w:pPr>
      <w:r>
        <w:rPr>
          <w:rFonts w:hAnsi="Times New Roman" w:cs="Times New Roman"/>
        </w:rPr>
        <w:t xml:space="preserve">- troškovi upravljanja, u iznosu 43.687.755 eura 
</w:t>
      </w:r>
    </w:p>
    <w:p>
      <w:pPr>
        <w:jc w:val="both"/>
        <w:pStyle w:val="Normal"/>
      </w:pPr>
      <w:r>
        <w:rPr>
          <w:rFonts w:hAnsi="Times New Roman" w:cs="Times New Roman"/>
        </w:rPr>
        <w:t xml:space="preserve">- sufinanciranje nerazvrstanih cesta, u iznosu od 2.000.000 eura  
</w:t>
      </w:r>
    </w:p>
    <w:p>
      <w:pPr>
        <w:jc w:val="both"/>
        <w:pStyle w:val="Normal"/>
      </w:pPr>
      <w:r>
        <w:rPr>
          <w:rFonts w:hAnsi="Times New Roman" w:cs="Times New Roman"/>
        </w:rPr>
        <w:t xml:space="preserve">- troškovi studija i razvojnih priprema i uknjižba zemljišta, u iznosu od 550.000 eura   
</w:t>
      </w:r>
    </w:p>
    <w:p>
      <w:pPr>
        <w:jc w:val="both"/>
        <w:pStyle w:val="Normal"/>
      </w:pPr>
      <w:r>
        <w:rPr>
          <w:rFonts w:hAnsi="Times New Roman" w:cs="Times New Roman"/>
        </w:rPr>
        <w:t xml:space="preserve">- troškovi financijskih izdataka za servisiranje dugova, u iznosu od 118.440.150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kilometara novoizgrađenih državnih cesta puštenih u promet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Ministarstvo uplaćuje sredstva HC-u temeljem Zakona o cestama te su sredstva namijenjena za izgradnju državnih cesta</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Hrvatske ceste d.o.o.</w:t>
            </w:r>
          </w:p>
        </w:tc>
        <w:tc>
          <w:tcPr>
            <w:tcW w:w="918.54" w:type="dxa"/>
            <w:vAlign w:val="center"/>
          </w:tcPr>
          <w:p>
            <w:pPr>
              <w:jc w:val="both"/>
              <w:pStyle w:val="CellColumn"/>
            </w:pPr>
            <w:r>
              <w:rPr>
                <w:rFonts w:hAnsi="Times New Roman" w:cs="Times New Roman"/>
              </w:rPr>
              <w:t xml:space="preserve">27,18</w:t>
            </w:r>
          </w:p>
        </w:tc>
        <w:tc>
          <w:tcPr>
            <w:tcW w:w="918.54" w:type="dxa"/>
            <w:vAlign w:val="center"/>
          </w:tcPr>
          <w:p>
            <w:pPr>
              <w:jc w:val="both"/>
              <w:pStyle w:val="CellColumn"/>
            </w:pPr>
            <w:r>
              <w:rPr>
                <w:rFonts w:hAnsi="Times New Roman" w:cs="Times New Roman"/>
              </w:rPr>
              <w:t xml:space="preserve">39,27</w:t>
            </w:r>
          </w:p>
        </w:tc>
        <w:tc>
          <w:tcPr>
            <w:tcW w:w="918.54" w:type="dxa"/>
            <w:vAlign w:val="center"/>
          </w:tcPr>
          <w:p>
            <w:pPr>
              <w:jc w:val="both"/>
              <w:pStyle w:val="CellColumn"/>
            </w:pPr>
            <w:r>
              <w:rPr>
                <w:rFonts w:hAnsi="Times New Roman" w:cs="Times New Roman"/>
              </w:rPr>
              <w:t xml:space="preserve">24,48</w:t>
            </w:r>
          </w:p>
        </w:tc>
      </w:tr>
      <w:tr>
        <w:trPr>
          <w:cantSplit/>
        </w:trPr>
        <w:tc>
          <w:tcPr>
            <w:tcW w:w="2245.32" w:type="dxa"/>
            <w:vAlign w:val="center"/>
          </w:tcPr>
          <w:p>
            <w:pPr>
              <w:jc w:val="both"/>
              <w:pStyle w:val="CellColumn"/>
            </w:pPr>
            <w:r>
              <w:rPr>
                <w:rFonts w:hAnsi="Times New Roman" w:cs="Times New Roman"/>
              </w:rPr>
              <w:t xml:space="preserve">Broj kilometara rekonstrukcije i investicijski održavanih državnih cesta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Ministarstvo uplaćuje sredstva HC-u temeljem Zakona o cestama te su sredstva namijenjena za održavanje državnih cesta</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Hrvatske ceste d.o.o.</w:t>
            </w:r>
          </w:p>
        </w:tc>
        <w:tc>
          <w:tcPr>
            <w:tcW w:w="918.54" w:type="dxa"/>
            <w:vAlign w:val="center"/>
          </w:tcPr>
          <w:p>
            <w:pPr>
              <w:jc w:val="both"/>
              <w:pStyle w:val="CellColumn"/>
            </w:pPr>
            <w:r>
              <w:rPr>
                <w:rFonts w:hAnsi="Times New Roman" w:cs="Times New Roman"/>
              </w:rPr>
              <w:t xml:space="preserve">100,00</w:t>
            </w:r>
          </w:p>
        </w:tc>
        <w:tc>
          <w:tcPr>
            <w:tcW w:w="918.54" w:type="dxa"/>
            <w:vAlign w:val="center"/>
          </w:tcPr>
          <w:p>
            <w:pPr>
              <w:jc w:val="both"/>
              <w:pStyle w:val="CellColumn"/>
            </w:pPr>
            <w:r>
              <w:rPr>
                <w:rFonts w:hAnsi="Times New Roman" w:cs="Times New Roman"/>
              </w:rPr>
              <w:t xml:space="preserve">97,4</w:t>
            </w:r>
          </w:p>
        </w:tc>
        <w:tc>
          <w:tcPr>
            <w:tcW w:w="918.54" w:type="dxa"/>
            <w:vAlign w:val="center"/>
          </w:tcPr>
          <w:p>
            <w:pPr>
              <w:jc w:val="both"/>
              <w:pStyle w:val="CellColumn"/>
            </w:pPr>
            <w:r>
              <w:rPr>
                <w:rFonts w:hAnsi="Times New Roman" w:cs="Times New Roman"/>
              </w:rPr>
              <w:t xml:space="preserve">90,00</w:t>
            </w:r>
          </w:p>
        </w:tc>
      </w:tr>
    </w:tbl>
    <w:p>
      <w:pPr>
        <w:jc w:val="left"/>
      </w:pPr>
      <w:r>
        <w:rPr>
          <w:rFonts w:hAnsi="Times New Roman" w:cs="Times New Roman"/>
        </w:rPr>
        <w:t xml:space="preserve"/>
      </w:r>
    </w:p>
    <w:p>
      <w:pPr>
        <w:jc w:val="left"/>
        <w:pStyle w:val="Heading4"/>
      </w:pPr>
      <w:r>
        <w:rPr>
          <w:rFonts w:hAnsi="Times New Roman" w:cs="Times New Roman"/>
        </w:rPr>
        <w:t xml:space="preserve">A587081 SURADNJA S MEĐUNARODNIM ORGANIZACIJAMA I PLANIRANJE RAZVOJA CESTOVNE INFRASTRUKTURE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cestama, članak 72.b. 
</w:t>
      </w:r>
    </w:p>
    <w:p>
      <w:pPr>
        <w:jc w:val="both"/>
        <w:pStyle w:val="Normal5"/>
      </w:pPr>
      <w:r>
        <w:rPr>
          <w:rFonts w:hAnsi="Times New Roman" w:cs="Times New Roman"/>
        </w:rPr>
        <w:t xml:space="preserve">- Sporazum između Republike Hrvatske i Europske komisije Ujedinjenih naroda za Europu (ECE) s jedne strane i vlada zemalja sudionica TEM-a s druge strane 
</w:t>
      </w:r>
    </w:p>
    <w:p>
      <w:pPr>
        <w:jc w:val="both"/>
        <w:pStyle w:val="Normal5"/>
      </w:pPr>
      <w:r>
        <w:rPr>
          <w:rFonts w:hAnsi="Times New Roman" w:cs="Times New Roman"/>
        </w:rPr>
        <w:t xml:space="preserve">- Odluka o objavljivanju mnogostranih međunarodnih ugovora kojih je Republika Hrvatska stranka na temelju notifikacija o sukcesiji (NN-MU 12/1993)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A587081-SURADNJA S MEĐUNARODNIM ORGANIZACIJAMA I PLANIRANJE RAZVOJA CESTOVNE INFRASTRUKTURE</w:t>
            </w:r>
          </w:p>
        </w:tc>
        <w:tc>
          <w:tcPr>
            <w:tcW w:w="1632.96" w:type="dxa"/>
            <w:vAlign w:val="center"/>
          </w:tcPr>
          <w:p>
            <w:pPr>
              <w:jc w:val="both"/>
              <w:pStyle w:val="CellColumn"/>
            </w:pPr>
            <w:r>
              <w:rPr>
                <w:rFonts w:hAnsi="Times New Roman" w:cs="Times New Roman"/>
              </w:rPr>
              <w:t xml:space="preserve">1.681.720</w:t>
            </w:r>
          </w:p>
        </w:tc>
        <w:tc>
          <w:tcPr>
            <w:tcW w:w="1632.96" w:type="dxa"/>
            <w:vAlign w:val="center"/>
          </w:tcPr>
          <w:p>
            <w:pPr>
              <w:jc w:val="both"/>
              <w:pStyle w:val="CellColumn"/>
            </w:pPr>
            <w:r>
              <w:rPr>
                <w:rFonts w:hAnsi="Times New Roman" w:cs="Times New Roman"/>
              </w:rPr>
              <w:t xml:space="preserve">1.639.415</w:t>
            </w:r>
          </w:p>
        </w:tc>
        <w:tc>
          <w:tcPr>
            <w:tcW w:w="1632.96" w:type="dxa"/>
            <w:vAlign w:val="center"/>
          </w:tcPr>
          <w:p>
            <w:pPr>
              <w:jc w:val="both"/>
              <w:pStyle w:val="CellColumn"/>
            </w:pPr>
            <w:r>
              <w:rPr>
                <w:rFonts w:hAnsi="Times New Roman" w:cs="Times New Roman"/>
              </w:rPr>
              <w:t xml:space="preserve">1.666.585</w:t>
            </w:r>
          </w:p>
        </w:tc>
        <w:tc>
          <w:tcPr>
            <w:tcW w:w="1632.96" w:type="dxa"/>
            <w:vAlign w:val="center"/>
          </w:tcPr>
          <w:p>
            <w:pPr>
              <w:jc w:val="both"/>
              <w:pStyle w:val="CellColumn"/>
            </w:pPr>
            <w:r>
              <w:rPr>
                <w:rFonts w:hAnsi="Times New Roman" w:cs="Times New Roman"/>
              </w:rPr>
              <w:t xml:space="preserve">2.639.000</w:t>
            </w:r>
          </w:p>
        </w:tc>
        <w:tc>
          <w:tcPr>
            <w:tcW w:w="1632.96" w:type="dxa"/>
            <w:vAlign w:val="center"/>
          </w:tcPr>
          <w:p>
            <w:pPr>
              <w:jc w:val="both"/>
              <w:pStyle w:val="CellColumn"/>
            </w:pPr>
            <w:r>
              <w:rPr>
                <w:rFonts w:hAnsi="Times New Roman" w:cs="Times New Roman"/>
              </w:rPr>
              <w:t xml:space="preserve">2.639.000</w:t>
            </w:r>
          </w:p>
        </w:tc>
        <w:tc>
          <w:tcPr>
            <w:tcW w:w="510.3" w:type="dxa"/>
            <w:vAlign w:val="center"/>
          </w:tcPr>
          <w:p>
            <w:pPr>
              <w:jc w:val="both"/>
              <w:pStyle w:val="CellColumn"/>
            </w:pPr>
            <w:r>
              <w:rPr>
                <w:rFonts w:hAnsi="Times New Roman" w:cs="Times New Roman"/>
              </w:rPr>
              <w:t xml:space="preserve">101,7</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kao resorno ministarstvo za poslove cestovne infrastrukture sudjeluje u radu UNECE TEM projekta te plaća članarinu sukladno sklopljenom sporazumu. Članarina trenutno iznosi 7.500 USD godišnje. 
</w:t>
      </w:r>
    </w:p>
    <w:p>
      <w:pPr>
        <w:jc w:val="both"/>
        <w:pStyle w:val="Normal"/>
      </w:pPr>
      <w:r>
        <w:rPr>
          <w:rFonts w:hAnsi="Times New Roman" w:cs="Times New Roman"/>
        </w:rPr>
        <w:t xml:space="preserve">Ministarstvo mora, prometa i infrastrukture sudjeluje u radu organizacije CORTE (The Confederation of Organisations in Road Transport Enforcement) od 2006. godine te plaća godišnju članarinu kao članica. Navedena organizacija pokriva pravna, regulatorna i tehnička pitanja vezana uz cestovni prijevoz u Europskoj uniji i izvan nje. 
</w:t>
      </w:r>
    </w:p>
    <w:p>
      <w:pPr>
        <w:jc w:val="both"/>
        <w:pStyle w:val="Normal"/>
      </w:pPr>
      <w:r>
        <w:rPr>
          <w:rFonts w:hAnsi="Times New Roman" w:cs="Times New Roman"/>
        </w:rPr>
        <w:t xml:space="preserve">Ministarstvo mora, prometa i infrastrukture sudjeluje u radu International transport foruma-ITF (do 2006. godine Europska konferencija ministara prometa), međuvladine organizacije integrirane u OECD,  te plaća članarinu. Članarina je promjenjiva, a trenutno iznosi 28.000 EUR.  U sklopu ITF-a djeluje Grupa za cestovni prijevoz koja upravlja kvotom dozvola za međunarodni prijevoz tereta. Temeljem sustava kvota,  hrvatskim prijevoznicima izdaju se godišnje multilateralne dozvole (CEMT) kojima mogu obaviti neograničen broj prijevoza tereta između zemalja članica. 
</w:t>
      </w:r>
    </w:p>
    <w:p>
      <w:pPr>
        <w:jc w:val="both"/>
        <w:pStyle w:val="Normal"/>
      </w:pPr>
      <w:r>
        <w:rPr>
          <w:rFonts w:hAnsi="Times New Roman" w:cs="Times New Roman"/>
        </w:rPr>
        <w:t xml:space="preserve">Sredstvima će se osigurati provedba Nacionalnog plana razvoja biciklističkog prometa za razdoblje 2022. do 2027. godine što uključuje praćenje provedbe, organizaciju Nacionalne biciklističke konferencije i podršku upraviteljima javnih cesta za izgradnju biciklističke infrastrukture. 
</w:t>
      </w:r>
    </w:p>
    <w:p>
      <w:pPr>
        <w:jc w:val="both"/>
        <w:pStyle w:val="Normal"/>
      </w:pPr>
      <w:r>
        <w:rPr>
          <w:rFonts w:hAnsi="Times New Roman" w:cs="Times New Roman"/>
        </w:rPr>
        <w:t xml:space="preserve">Planirana sredstva u iznosu od 1.500.000 eura za provedbu Nacionalnog plana razvoja biciklističkog prometa za razdoblje od 2023. do 2027. godine biti će utrošena za realizaciju mjere Unaprjeđenje biciklističke infrastrukture, a koja predstavlja jednu od mjera za provedbu posebnog cilja Razvoj klimatski neutralne mobilnosti (Dekarbonizacija prometnog sektora) kroz povećanje korištenja bicikala u svakodnevnim putovanjima, a u sklopu strateškog cilja Ekološka i energetska tranzicija za klimatsku neutralnost. 
</w:t>
      </w:r>
    </w:p>
    <w:p>
      <w:pPr>
        <w:jc w:val="both"/>
        <w:pStyle w:val="Normal"/>
      </w:pPr>
      <w:r>
        <w:rPr>
          <w:rFonts w:hAnsi="Times New Roman" w:cs="Times New Roman"/>
        </w:rPr>
        <w:t xml:space="preserve">Svrhe provedbe mjere su sljedeće: 
</w:t>
      </w:r>
    </w:p>
    <w:p>
      <w:pPr>
        <w:jc w:val="both"/>
        <w:pStyle w:val="Normal"/>
      </w:pPr>
      <w:r>
        <w:rPr>
          <w:rFonts w:hAnsi="Times New Roman" w:cs="Times New Roman"/>
        </w:rPr>
        <w:t xml:space="preserve">- unaprjeđenje regulative sukladno smjernicama iz naprednih zemalja, čime će Hrvatska dobiti polazište za razvoj kvalitetne i atraktivne biciklističke infrastrukture. Primjeri dobre prakse, koji bilježe odlične rezultate u drugim državama, ne mogu biti implementirani bez prethodnog definiranja u zakonskim i podzakonskim aktima. Pojedini zakoni i pravilnici godinama čekaju svoju dopunu, a što je potrebno potaknuti i ubrzati pozitivne pomake temeljem dosadašnjih pozitivnih iskustava izradom planova održive urbane mobilnosti (SUMP). Navedene promjene će omogućiti i implementaciju kvalitetne biciklističke infrastrukture tamo gdje to trenutno uvjeti ne omogućavaju, a što će rezultirati većom mogućnošću građana na korištenje bicikla kao čistog i održivog prometnog sredstva. 
</w:t>
      </w:r>
    </w:p>
    <w:p>
      <w:pPr>
        <w:jc w:val="both"/>
        <w:pStyle w:val="Normal"/>
      </w:pPr>
      <w:r>
        <w:rPr>
          <w:rFonts w:hAnsi="Times New Roman" w:cs="Times New Roman"/>
        </w:rPr>
        <w:t xml:space="preserve">- izgradnja biciklističkih prometnih površina kojima se ostvaruje ključni korak potreban za uključivanje novih korisnika bicikala te osiguravanje mogućnosti za sigurnu i atraktivnu vožnju bicikla svim skupinama građana. Biciklisti početnici, djeca, starije osobe, osobe s invaliditetom, samo su neke od skupina građana kojima izdvojene biciklističke prometne površine predstavljaju osnovni uvjet koji im je potreban prilikom odluke o tome hoće li koristiti bicikl za svoja svakodnevna putovanja. Ulaganja u izgradnju nove biciklističke infrastrukture zahtijevaju sustavan i održiv pristup te značajnija sredstva koja je potrebno osigurati u narednom periodu. 
</w:t>
      </w:r>
    </w:p>
    <w:p>
      <w:pPr>
        <w:jc w:val="both"/>
        <w:pStyle w:val="Normal"/>
      </w:pPr>
      <w:r>
        <w:rPr>
          <w:rFonts w:hAnsi="Times New Roman" w:cs="Times New Roman"/>
        </w:rPr>
        <w:t xml:space="preserve">Razvoj inteligentnih prometnih sustava (ITS) u EU se temelji na Direktivi 2010/40/EU koja je u prenesena u nacionalno zakonodavstvo kroz Zakon o cestama. Osnovna obaveza iz direktive je izrada planskog dokumenta za razvoj ITS. Sukladno navedenom u 2026. godini će se izraditi Nacionalni plan za razvoj ITS-a. Za potrebe izrade dokumenta se planiraju koristiti intelektualne usluge u području ITS-a i strateškog planiranja. 
</w:t>
      </w:r>
    </w:p>
    <w:p>
      <w:pPr>
        <w:jc w:val="both"/>
        <w:pStyle w:val="Normal"/>
      </w:pPr>
      <w:r>
        <w:rPr>
          <w:rFonts w:hAnsi="Times New Roman" w:cs="Times New Roman"/>
        </w:rPr>
        <w:t xml:space="preserve">Ministarstvo je temeljem Zakona o uspostavi infrastrukture za alternativna goriva (NN 120/16, 63/22) zaduženo za vođenje CRO IDRO sustava. Usvajanjem Uredbe (EU) 2023/1804 Europskog parlamenta i Vijeća od 13. rujna 2023. o uvođenju infrastrukture za alternativna goriva i stavljanju izvan snage Direktive 2014/94/EU očekuje se potrebna je nadogradnja sustava te povezivanje s pružateljima usluga punjenja. Također, temeljem novih ciljeva iz uredbe potrebno je pripremiti novi Nacionalni okvir politika za uspostavu infrastrukture za alternativna goriva.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Plaćene obveze za članarine u međunarodnim organizacijama</w:t>
            </w:r>
          </w:p>
        </w:tc>
        <w:tc>
          <w:tcPr>
            <w:tcW w:w="2245.32" w:type="dxa"/>
            <w:vAlign w:val="center"/>
          </w:tcPr>
          <w:p>
            <w:pPr>
              <w:jc w:val="both"/>
              <w:pStyle w:val="CellColumn"/>
            </w:pPr>
            <w:r>
              <w:rPr>
                <w:rFonts w:hAnsi="Times New Roman" w:cs="Times New Roman"/>
              </w:rPr>
              <w:t xml:space="preserve">Temeljem sporazuma isplaćuje se propisani iznos članarine za sudjelovanje u radu UNECE TEM projekta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A754005 GODIŠNJA NAKNADA ZA UPORABU JAVNIH CESTA I CESTARINA ZA NAJTEŽE INVALIDE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cestama, članak 88.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A754005-GODIŠNJA NAKNADA ZA UPORABU JAVNIH CESTA I CESTARINA ZA NAJTEŽE INVALIDE</w:t>
            </w:r>
          </w:p>
        </w:tc>
        <w:tc>
          <w:tcPr>
            <w:tcW w:w="1632.96" w:type="dxa"/>
            <w:vAlign w:val="center"/>
          </w:tcPr>
          <w:p>
            <w:pPr>
              <w:jc w:val="both"/>
              <w:pStyle w:val="CellColumn"/>
            </w:pPr>
            <w:r>
              <w:rPr>
                <w:rFonts w:hAnsi="Times New Roman" w:cs="Times New Roman"/>
              </w:rPr>
              <w:t xml:space="preserve">4.605.715</w:t>
            </w:r>
          </w:p>
        </w:tc>
        <w:tc>
          <w:tcPr>
            <w:tcW w:w="1632.96" w:type="dxa"/>
            <w:vAlign w:val="center"/>
          </w:tcPr>
          <w:p>
            <w:pPr>
              <w:jc w:val="both"/>
              <w:pStyle w:val="CellColumn"/>
            </w:pPr>
            <w:r>
              <w:rPr>
                <w:rFonts w:hAnsi="Times New Roman" w:cs="Times New Roman"/>
              </w:rPr>
              <w:t xml:space="preserve">5.520.000</w:t>
            </w:r>
          </w:p>
        </w:tc>
        <w:tc>
          <w:tcPr>
            <w:tcW w:w="1632.96" w:type="dxa"/>
            <w:vAlign w:val="center"/>
          </w:tcPr>
          <w:p>
            <w:pPr>
              <w:jc w:val="both"/>
              <w:pStyle w:val="CellColumn"/>
            </w:pPr>
            <w:r>
              <w:rPr>
                <w:rFonts w:hAnsi="Times New Roman" w:cs="Times New Roman"/>
              </w:rPr>
              <w:t xml:space="preserve">6.315.406</w:t>
            </w:r>
          </w:p>
        </w:tc>
        <w:tc>
          <w:tcPr>
            <w:tcW w:w="1632.96" w:type="dxa"/>
            <w:vAlign w:val="center"/>
          </w:tcPr>
          <w:p>
            <w:pPr>
              <w:jc w:val="both"/>
              <w:pStyle w:val="CellColumn"/>
            </w:pPr>
            <w:r>
              <w:rPr>
                <w:rFonts w:hAnsi="Times New Roman" w:cs="Times New Roman"/>
              </w:rPr>
              <w:t xml:space="preserve">7.700.000</w:t>
            </w:r>
          </w:p>
        </w:tc>
        <w:tc>
          <w:tcPr>
            <w:tcW w:w="1632.96" w:type="dxa"/>
            <w:vAlign w:val="center"/>
          </w:tcPr>
          <w:p>
            <w:pPr>
              <w:jc w:val="both"/>
              <w:pStyle w:val="CellColumn"/>
            </w:pPr>
            <w:r>
              <w:rPr>
                <w:rFonts w:hAnsi="Times New Roman" w:cs="Times New Roman"/>
              </w:rPr>
              <w:t xml:space="preserve">7.700.000</w:t>
            </w:r>
          </w:p>
        </w:tc>
        <w:tc>
          <w:tcPr>
            <w:tcW w:w="510.3" w:type="dxa"/>
            <w:vAlign w:val="center"/>
          </w:tcPr>
          <w:p>
            <w:pPr>
              <w:jc w:val="both"/>
              <w:pStyle w:val="CellColumn"/>
            </w:pPr>
            <w:r>
              <w:rPr>
                <w:rFonts w:hAnsi="Times New Roman" w:cs="Times New Roman"/>
              </w:rPr>
              <w:t xml:space="preserve">114,4</w:t>
            </w:r>
          </w:p>
        </w:tc>
      </w:tr>
    </w:tbl>
    <w:p>
      <w:pPr>
        <w:jc w:val="left"/>
      </w:pPr>
      <w:r>
        <w:rPr>
          <w:rFonts w:hAnsi="Times New Roman" w:cs="Times New Roman"/>
        </w:rPr>
        <w:t xml:space="preserve"/>
      </w:r>
    </w:p>
    <w:p>
      <w:pPr>
        <w:jc w:val="both"/>
        <w:pStyle w:val="Normal"/>
      </w:pPr>
      <w:r>
        <w:rPr>
          <w:rFonts w:hAnsi="Times New Roman" w:cs="Times New Roman"/>
        </w:rPr>
        <w:t xml:space="preserve">Sredstva su namijenjena za osiguravanje ostvarivanja prava osoba s invaliditetom (s određenim tjelesnim oštećenjima) propisanih na temelju članka 88. Zakona o cestama. Navedena aktivnost provodi se kontinuirano dok postoji zakonska obveza/osnova.   
</w:t>
      </w:r>
    </w:p>
    <w:p>
      <w:pPr>
        <w:jc w:val="both"/>
        <w:pStyle w:val="Normal"/>
      </w:pPr>
      <w:r>
        <w:rPr>
          <w:rFonts w:hAnsi="Times New Roman" w:cs="Times New Roman"/>
        </w:rPr>
        <w:t xml:space="preserve">Naime, osobe s invaliditetom koje imaju određeni stupanj tjelesnog oštećenja ostvaruju pravo na oslobađanje plaćanja godišnje naknade za uporabu javnih cesta koja se plaća pri registraciji osobnog automobila i/ili pravo na oslobađanje plaćanja cestarine za uporabu autocesta i objekata s naplatom (most, tunel, vijadukt i sl.). Ovom aktivnosti osigurava se poticanje mobilnosti osoba s tjelesnim oštećenjem. Zahtjeve za nadoknadama iznosa godišnjih naknada za vozila osoba s invaliditetom Ministarstvo zaprima od upravitelja cesta (županijskih uprava za ceste, njih 21). Zahtjeve za nadoknadama cestarina osoba s invaliditetom Ministarstvo zaprima od upravitelja dionica autocesta (Hrvatske autoceste d.o.o., Autocesta Zagreb - Macelj d.o.o. i Bina-Istra d.d.).  
</w:t>
      </w:r>
    </w:p>
    <w:p>
      <w:pPr>
        <w:jc w:val="both"/>
        <w:pStyle w:val="Normal"/>
      </w:pPr>
      <w:r>
        <w:rPr>
          <w:rFonts w:hAnsi="Times New Roman" w:cs="Times New Roman"/>
        </w:rPr>
        <w:t xml:space="preserve">Sredstva na ovoj stavci planirana su uvažavajući prosječan godišnji broj ostvarenih prava osoba s invaliditetom, a pritom uzimajući u obzir iznos utrošenih sredstava u prethodnom dvogodišnjom razdoblju za financiranje naknade za uporabu javnih cesta i cestarina za najteže invalide.
</w:t>
      </w:r>
    </w:p>
    <w:p>
      <w:pPr>
        <w:jc w:val="both"/>
        <w:pStyle w:val="Normal"/>
      </w:pPr>
      <w:r>
        <w:rPr>
          <w:rFonts w:hAnsi="Times New Roman" w:cs="Times New Roman"/>
        </w:rPr>
        <w:t xml:space="preserve">
</w:t>
      </w:r>
    </w:p>
    <w:p>
      <w:pPr>
        <w:jc w:val="both"/>
        <w:pStyle w:val="Normal"/>
      </w:pPr>
      <w:r>
        <w:rPr>
          <w:rFonts w:hAnsi="Times New Roman" w:cs="Times New Roman"/>
        </w:rPr>
        <w:t xml:space="preserve">Odstupanje u odnosu na rebalans za 2025. godinu:
</w:t>
      </w:r>
    </w:p>
    <w:p>
      <w:pPr>
        <w:jc w:val="both"/>
        <w:pStyle w:val="Normal"/>
      </w:pPr>
      <w:r>
        <w:rPr>
          <w:rFonts w:hAnsi="Times New Roman" w:cs="Times New Roman"/>
        </w:rPr>
        <w:t xml:space="preserve">Stupanjem na snagu Zakona o povlasticama u prometu drastično se povečao broj osoba s invaliditem koje koriste autoceste i objekte sa naplatom cestarine bez plaćanja iste. Obzirom da je naknada za uporabu javnih cesta i cestarina za najteže invalidite, u razdoblju siječanj-listopad, u odnosu na prošlu godinu povećana za više od 15% potrebno je povećanje planiranih sredstava koja su usvojena prilikom izrade Državnog proračuna za razdoblje 2025. – 2027. godina kako bi se predmetna naknada mogla isplaćivati do kraja svake godine. Također, u proceduri donošenja je Pravilnik o izmjenama i dopuni Pravilnika o visini godišnje naknade za uporabu javnih cesta što se plaća pri registraciji motornih i priključnih vozila kojim će se znatno povećati predmetna naknada pa je i iz tog razloga potrebno osigurati dodatna sredstva.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ostvarenih prava na oslobađanje od plaćanja godišnje naknade za uporabu javnih cesta odnosno pravo na oslobađanje od plaćanja cestarine za korištenje dionica autocesta i objekata s naplatom (godišnja vrijednost)</w:t>
            </w:r>
          </w:p>
        </w:tc>
        <w:tc>
          <w:tcPr>
            <w:tcW w:w="2245.32" w:type="dxa"/>
            <w:vAlign w:val="center"/>
          </w:tcPr>
          <w:p>
            <w:pPr>
              <w:jc w:val="both"/>
              <w:pStyle w:val="CellColumn"/>
            </w:pPr>
            <w:r>
              <w:rPr>
                <w:rFonts w:hAnsi="Times New Roman" w:cs="Times New Roman"/>
              </w:rPr>
              <w:t xml:space="preserve">Naknada za osobe sa invaliditetom koje su ostvarile pravo na oslobađanje od plaćanja godišnje naknade za uporabu javnih cesta odnosno pravo na oslobađanje od plaćanja cestarine za korištenje dionica autocesta i objekata s naplatom koja se isplaćuje na godišnjoj razini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36.901</w:t>
            </w:r>
          </w:p>
        </w:tc>
        <w:tc>
          <w:tcPr>
            <w:tcW w:w="918.54" w:type="dxa"/>
            <w:vAlign w:val="center"/>
          </w:tcPr>
          <w:p>
            <w:pPr>
              <w:jc w:val="both"/>
              <w:pStyle w:val="CellColumn"/>
            </w:pPr>
            <w:r>
              <w:rPr>
                <w:rFonts w:hAnsi="Times New Roman" w:cs="Times New Roman"/>
              </w:rPr>
              <w:t xml:space="preserve">Podaci upravitelja cesta</w:t>
            </w:r>
          </w:p>
        </w:tc>
        <w:tc>
          <w:tcPr>
            <w:tcW w:w="918.54" w:type="dxa"/>
            <w:vAlign w:val="center"/>
          </w:tcPr>
          <w:p>
            <w:pPr>
              <w:jc w:val="both"/>
              <w:pStyle w:val="CellColumn"/>
            </w:pPr>
            <w:r>
              <w:rPr>
                <w:rFonts w:hAnsi="Times New Roman" w:cs="Times New Roman"/>
              </w:rPr>
              <w:t xml:space="preserve">37.500</w:t>
            </w:r>
          </w:p>
        </w:tc>
        <w:tc>
          <w:tcPr>
            <w:tcW w:w="918.54" w:type="dxa"/>
            <w:vAlign w:val="center"/>
          </w:tcPr>
          <w:p>
            <w:pPr>
              <w:jc w:val="both"/>
              <w:pStyle w:val="CellColumn"/>
            </w:pPr>
            <w:r>
              <w:rPr>
                <w:rFonts w:hAnsi="Times New Roman" w:cs="Times New Roman"/>
              </w:rPr>
              <w:t xml:space="preserve">38.000</w:t>
            </w:r>
          </w:p>
        </w:tc>
        <w:tc>
          <w:tcPr>
            <w:tcW w:w="918.54" w:type="dxa"/>
            <w:vAlign w:val="center"/>
          </w:tcPr>
          <w:p>
            <w:pPr>
              <w:jc w:val="both"/>
              <w:pStyle w:val="CellColumn"/>
            </w:pPr>
            <w:r>
              <w:rPr>
                <w:rFonts w:hAnsi="Times New Roman" w:cs="Times New Roman"/>
              </w:rPr>
              <w:t xml:space="preserve">38.500</w:t>
            </w:r>
          </w:p>
        </w:tc>
      </w:tr>
    </w:tbl>
    <w:p>
      <w:pPr>
        <w:jc w:val="left"/>
      </w:pPr>
      <w:r>
        <w:rPr>
          <w:rFonts w:hAnsi="Times New Roman" w:cs="Times New Roman"/>
        </w:rPr>
        <w:t xml:space="preserve"/>
      </w:r>
    </w:p>
    <w:p>
      <w:pPr>
        <w:jc w:val="left"/>
        <w:pStyle w:val="Heading4"/>
      </w:pPr>
      <w:r>
        <w:rPr>
          <w:rFonts w:hAnsi="Times New Roman" w:cs="Times New Roman"/>
        </w:rPr>
        <w:t xml:space="preserve">A754061 NAKNADA DIJELA CESTARINE ZA KORIŠTENJE AUTOCESTA I OBJEKATA POD NAPLATOM ZA VOZILA HITNIH SLUŽBI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sigurnosti prometa na cestama  
</w:t>
      </w:r>
    </w:p>
    <w:p>
      <w:pPr>
        <w:jc w:val="both"/>
        <w:pStyle w:val="Normal5"/>
      </w:pPr>
      <w:r>
        <w:rPr>
          <w:rFonts w:hAnsi="Times New Roman" w:cs="Times New Roman"/>
        </w:rPr>
        <w:t xml:space="preserve">- Zakon o cestama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A754061-NAKNADA DIJELA CESTARINE ZA KORIŠTENJE AUTOCESTA I OBJEKATA POD NAPLATOM ZA VOZILA HITNIH SLUŽBI</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92.906</w:t>
            </w:r>
          </w:p>
        </w:tc>
        <w:tc>
          <w:tcPr>
            <w:tcW w:w="1632.96" w:type="dxa"/>
            <w:vAlign w:val="center"/>
          </w:tcPr>
          <w:p>
            <w:pPr>
              <w:jc w:val="both"/>
              <w:pStyle w:val="CellColumn"/>
            </w:pPr>
            <w:r>
              <w:rPr>
                <w:rFonts w:hAnsi="Times New Roman" w:cs="Times New Roman"/>
              </w:rPr>
              <w:t xml:space="preserve">92.906</w:t>
            </w:r>
          </w:p>
        </w:tc>
        <w:tc>
          <w:tcPr>
            <w:tcW w:w="1632.96" w:type="dxa"/>
            <w:vAlign w:val="center"/>
          </w:tcPr>
          <w:p>
            <w:pPr>
              <w:jc w:val="both"/>
              <w:pStyle w:val="CellColumn"/>
            </w:pPr>
            <w:r>
              <w:rPr>
                <w:rFonts w:hAnsi="Times New Roman" w:cs="Times New Roman"/>
              </w:rPr>
              <w:t xml:space="preserve">92.906</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Navedena aktivnost provodi se kontinuirano dok postoji zakonska obveza/osnova.   
</w:t>
      </w:r>
    </w:p>
    <w:p>
      <w:pPr>
        <w:jc w:val="both"/>
        <w:pStyle w:val="Normal"/>
      </w:pPr>
      <w:r>
        <w:rPr>
          <w:rFonts w:hAnsi="Times New Roman" w:cs="Times New Roman"/>
        </w:rPr>
        <w:t xml:space="preserve">Ova proračunska stavka predviđena je za refundiranje poreza na dodanu vrijednost upraviteljima javnih cesta i koncesionarima koje su pod naplatom (Hrvatskim autocestama d.o.o., Autocesti Zagreb-Macelj d.o.o. i Bina-Istri d.d.) za slučajeve prolaska vozila s pravom prednosti prolaska. Prema Zakonu o sigurnosti prometa na cestama to jesu: vozila službe hitne pomoći, vozila sanitetskog prijevoza, vatrogasne službe, civilne zaštite, unutarnjih poslova i vojne policije, osobna vozila kojima se koriste suci i državni odvjetnici za obavljanje očevida povodom kaznenih dijela, službena vozila ovlaštenih carinskih službenika, službena vozila ovlaštenih službenika središnjeg tijela državne uprave nadležnog za zaštitu i spašavanje, službena vozila inspektora cestovnog prometa, službena vozila kriznog stožera ministarstva nadležnog za zdravstvo, vozila gorske službe spašavanja, vozila mobilne jedinice veterinarske inspekcije te vozila ministarstva nadležnog za poslove pravosuđa kojima se prevoze uhićene ili osuđene osobe, kada posebnim uređajima daju svjetlosne ili zvučne znakove.  
</w:t>
      </w:r>
    </w:p>
    <w:p>
      <w:pPr>
        <w:jc w:val="both"/>
        <w:pStyle w:val="Normal"/>
      </w:pPr>
      <w:r>
        <w:rPr>
          <w:rFonts w:hAnsi="Times New Roman" w:cs="Times New Roman"/>
        </w:rPr>
        <w:t xml:space="preserve">Zakon o cestama propisuje oslobođenja od plaćanja cestarine samo za vozila osoba s određenim stupnjem invaliditeta. Za vozila hitnih službi, odnosno za vozila s pravom prednosti prolaska oslobođenja od plaćanja cestarine Zakonom o cestama nije propisano. Vozila s pravom prednosti prolaska već dugi niz godina koriste autoceste bez plaćanja cestarine zbog prakse uspostavljene temeljem Zakona o javnim cestama, kojim je za ova vozila bilo propisano da ne plaćaju cestarinu. Zakon o sigurnosti prometa na cestama ne uređuje pitanje plaćanja cestarine za korištenje autoceste vozilima s pravom prednosti prolaska.  
</w:t>
      </w:r>
    </w:p>
    <w:p>
      <w:pPr>
        <w:jc w:val="both"/>
        <w:pStyle w:val="Normal"/>
      </w:pPr>
      <w:r>
        <w:rPr>
          <w:rFonts w:hAnsi="Times New Roman" w:cs="Times New Roman"/>
        </w:rPr>
        <w:t xml:space="preserve">Propuštanje policijskih i vatrogasnih vozila, vozila hitne pomoći, saniteta i spasilačkih službi bez naplate cestarine, koje nije temeljeno na jasnoj odredbi propisa, izlaže Hrvatske autoceste d.o.o. i koncesionare riziku primjene poreznih propisa u pogledu obveze obračunavanja i plaćanja poreza na dodanu vrijednost na isporučenu, a nenaplaćenu uslugu. U EU praksi cestarina se ne naplaćuje za policijska i vatrogasna vozila te vozila hitne pomoći, koja su prepoznatljivog vizualnog identiteta.  
</w:t>
      </w:r>
    </w:p>
    <w:p>
      <w:pPr>
        <w:jc w:val="both"/>
        <w:pStyle w:val="Normal"/>
      </w:pPr>
      <w:r>
        <w:rPr>
          <w:rFonts w:hAnsi="Times New Roman" w:cs="Times New Roman"/>
        </w:rPr>
        <w:t xml:space="preserve">Sukladno navedenom, u Zakon o izmjenama i dopunama Zakona o cestama (NN 144/21) ugrađena je odredba kojom se propisuje za koja vozila kojih hitnih službi se korištenje autocesta i objekata s naplatom ne naplaćuje, a također je propisano da se sredstva za porez na dodanu vrijednost za navedenu uslugu osiguravaju u državnom proračunu na aktivnostima Ministarstva mora, prometa i infrastrukture.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prolazaka vozila hitnih službi  za koje je izvršena refundacija PDVa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Oslobođenje od obveze plaćanja cestarine za vozila hitnih službi (vozila ministarstva nadležnog za unutarnje poslove, vozila ministarstva nadležnog za poslove obrane i nacionalne sigurnosti, vatrogasna vozila, vozila hitne medicinske pomoći, vozila gorske službe spašavanja i vozila carine)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Upravitelj autocesta</w:t>
            </w:r>
          </w:p>
        </w:tc>
        <w:tc>
          <w:tcPr>
            <w:tcW w:w="918.54" w:type="dxa"/>
            <w:vAlign w:val="center"/>
          </w:tcPr>
          <w:p>
            <w:pPr>
              <w:jc w:val="both"/>
              <w:pStyle w:val="CellColumn"/>
            </w:pPr>
            <w:r>
              <w:rPr>
                <w:rFonts w:hAnsi="Times New Roman" w:cs="Times New Roman"/>
              </w:rPr>
              <w:t xml:space="preserve">30.000</w:t>
            </w:r>
          </w:p>
        </w:tc>
        <w:tc>
          <w:tcPr>
            <w:tcW w:w="918.54" w:type="dxa"/>
            <w:vAlign w:val="center"/>
          </w:tcPr>
          <w:p>
            <w:pPr>
              <w:jc w:val="both"/>
              <w:pStyle w:val="CellColumn"/>
            </w:pPr>
            <w:r>
              <w:rPr>
                <w:rFonts w:hAnsi="Times New Roman" w:cs="Times New Roman"/>
              </w:rPr>
              <w:t xml:space="preserve">30.000</w:t>
            </w:r>
          </w:p>
        </w:tc>
        <w:tc>
          <w:tcPr>
            <w:tcW w:w="918.54" w:type="dxa"/>
            <w:vAlign w:val="center"/>
          </w:tcPr>
          <w:p>
            <w:pPr>
              <w:jc w:val="both"/>
              <w:pStyle w:val="CellColumn"/>
            </w:pPr>
            <w:r>
              <w:rPr>
                <w:rFonts w:hAnsi="Times New Roman" w:cs="Times New Roman"/>
              </w:rPr>
              <w:t xml:space="preserve">30.000</w:t>
            </w:r>
          </w:p>
        </w:tc>
      </w:tr>
    </w:tbl>
    <w:p>
      <w:pPr>
        <w:jc w:val="left"/>
      </w:pPr>
      <w:r>
        <w:rPr>
          <w:rFonts w:hAnsi="Times New Roman" w:cs="Times New Roman"/>
        </w:rPr>
        <w:t xml:space="preserve"/>
      </w:r>
    </w:p>
    <w:p>
      <w:pPr>
        <w:jc w:val="left"/>
        <w:pStyle w:val="Heading4"/>
      </w:pPr>
      <w:r>
        <w:rPr>
          <w:rFonts w:hAnsi="Times New Roman" w:cs="Times New Roman"/>
        </w:rPr>
        <w:t xml:space="preserve">A810057 POTPORA ŽUPANIJSKIM UPRAVAMA ZA CESTE I JEDINICAMA LOKALNE I REGIONALNE SAMOUPRAVE ZA ODRŽAVANJE, REKONSTRUKCIJU I GRAĐENJE ŽUPANIJSKIH,  LOKALNIH I NERAZVRSTANIH CESTA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cestama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A810057-POTPORA ŽUPANIJSKIM UPRAVAMA ZA CESTE I JEDINICAMA LOKALNE I REGIONALNE SAMOUPRAVE ZA ODRŽAVANJE, REKONSTRUKCIJU I GRAĐENJE ŽUPANIJSKIH,  LOKALNIH I NERAZVRSTANIH CESTA</w:t>
            </w:r>
          </w:p>
        </w:tc>
        <w:tc>
          <w:tcPr>
            <w:tcW w:w="1632.96" w:type="dxa"/>
            <w:vAlign w:val="center"/>
          </w:tcPr>
          <w:p>
            <w:pPr>
              <w:jc w:val="both"/>
              <w:pStyle w:val="CellColumn"/>
            </w:pPr>
            <w:r>
              <w:rPr>
                <w:rFonts w:hAnsi="Times New Roman" w:cs="Times New Roman"/>
              </w:rPr>
              <w:t xml:space="preserve">24.996.374</w:t>
            </w:r>
          </w:p>
        </w:tc>
        <w:tc>
          <w:tcPr>
            <w:tcW w:w="1632.96" w:type="dxa"/>
            <w:vAlign w:val="center"/>
          </w:tcPr>
          <w:p>
            <w:pPr>
              <w:jc w:val="both"/>
              <w:pStyle w:val="CellColumn"/>
            </w:pPr>
            <w:r>
              <w:rPr>
                <w:rFonts w:hAnsi="Times New Roman" w:cs="Times New Roman"/>
              </w:rPr>
              <w:t xml:space="preserve">10.838.300</w:t>
            </w:r>
          </w:p>
        </w:tc>
        <w:tc>
          <w:tcPr>
            <w:tcW w:w="1632.96" w:type="dxa"/>
            <w:vAlign w:val="center"/>
          </w:tcPr>
          <w:p>
            <w:pPr>
              <w:jc w:val="both"/>
              <w:pStyle w:val="CellColumn"/>
            </w:pPr>
            <w:r>
              <w:rPr>
                <w:rFonts w:hAnsi="Times New Roman" w:cs="Times New Roman"/>
              </w:rPr>
              <w:t xml:space="preserve">14.083.518</w:t>
            </w:r>
          </w:p>
        </w:tc>
        <w:tc>
          <w:tcPr>
            <w:tcW w:w="1632.96" w:type="dxa"/>
            <w:vAlign w:val="center"/>
          </w:tcPr>
          <w:p>
            <w:pPr>
              <w:jc w:val="both"/>
              <w:pStyle w:val="CellColumn"/>
            </w:pPr>
            <w:r>
              <w:rPr>
                <w:rFonts w:hAnsi="Times New Roman" w:cs="Times New Roman"/>
              </w:rPr>
              <w:t xml:space="preserve">10.000.000</w:t>
            </w:r>
          </w:p>
        </w:tc>
        <w:tc>
          <w:tcPr>
            <w:tcW w:w="1632.96" w:type="dxa"/>
            <w:vAlign w:val="center"/>
          </w:tcPr>
          <w:p>
            <w:pPr>
              <w:jc w:val="both"/>
              <w:pStyle w:val="CellColumn"/>
            </w:pPr>
            <w:r>
              <w:rPr>
                <w:rFonts w:hAnsi="Times New Roman" w:cs="Times New Roman"/>
              </w:rPr>
              <w:t xml:space="preserve">5.000.000</w:t>
            </w:r>
          </w:p>
        </w:tc>
        <w:tc>
          <w:tcPr>
            <w:tcW w:w="510.3" w:type="dxa"/>
            <w:vAlign w:val="center"/>
          </w:tcPr>
          <w:p>
            <w:pPr>
              <w:jc w:val="both"/>
              <w:pStyle w:val="CellColumn"/>
            </w:pPr>
            <w:r>
              <w:rPr>
                <w:rFonts w:hAnsi="Times New Roman" w:cs="Times New Roman"/>
              </w:rPr>
              <w:t xml:space="preserve">129,9</w:t>
            </w:r>
          </w:p>
        </w:tc>
      </w:tr>
    </w:tbl>
    <w:p>
      <w:pPr>
        <w:jc w:val="left"/>
      </w:pPr>
      <w:r>
        <w:rPr>
          <w:rFonts w:hAnsi="Times New Roman" w:cs="Times New Roman"/>
        </w:rPr>
        <w:t xml:space="preserve"/>
      </w:r>
    </w:p>
    <w:p>
      <w:pPr>
        <w:jc w:val="both"/>
        <w:pStyle w:val="Normal"/>
      </w:pPr>
      <w:r>
        <w:rPr>
          <w:rFonts w:hAnsi="Times New Roman" w:cs="Times New Roman"/>
        </w:rPr>
        <w:t xml:space="preserve">U Republici Hrvatskoj danas postoji dvadeset županijskih uprava za ceste koje upravljaju sa 9.327,437 km županijskih i 8.439,618 km lokalnih cesta što je ukupno 17.767,055 km cesta ili oko 67% razvrstanih javnih cesta (Odluka o razvrstavanju javnih cesta, NN, br. 109/25 i 118/25), što je najveći dio mreže javnih cesta u Republici Hrvatskoj. U svim županijskim upravama za ceste danas radi manje od 185 zaposlenika, što znači da jedan zaposlenik brine za oko 81 km ceste. 
</w:t>
      </w:r>
    </w:p>
    <w:p>
      <w:pPr>
        <w:jc w:val="both"/>
        <w:pStyle w:val="Normal"/>
      </w:pPr>
      <w:r>
        <w:rPr>
          <w:rFonts w:hAnsi="Times New Roman" w:cs="Times New Roman"/>
        </w:rPr>
        <w:t xml:space="preserve">Županijske uprave za ceste dokazale su se kao male i efikasne uprave koje odgovorno, kvalitetno i racionalno gospodare svojim sredstvima od kojih oko 95% izravno ulažu u održavanje cesta. Sva ulaganja provedena su sukladno financijskim mogućnostima bez pretjeranog zaduživanja (samo manji dio županijskih uprava ima kreditna zaduženja) uz dobru suradnju sa županijama, gradovima, općinama i državnim institucijama. 
</w:t>
      </w:r>
    </w:p>
    <w:p>
      <w:pPr>
        <w:jc w:val="both"/>
        <w:pStyle w:val="Normal"/>
      </w:pPr>
      <w:r>
        <w:rPr>
          <w:rFonts w:hAnsi="Times New Roman" w:cs="Times New Roman"/>
        </w:rPr>
        <w:t xml:space="preserve">Sadašnji sustav financiranja županijskih i lokalnih cesta oslanja se na jedan izvor, godišnju naknadu za uporabu javnih cesta što se plaća pri registraciji motornih i priključnih vozila (cca 106 milijuna eura godišnje). Uravnoteženje trenutnog sustava, sa sadašnjim sredstvima, kao održivog sustava financiranja nije moguće, jer su za njega i za postizanje potrebne razine sigurnosti prometa, prema procjenama, u sadašnjim okolnostima potrebna godišnja ulaganja od 160 do 193 milijuna eura ovisno o standardu koji se želi postići. 
</w:t>
      </w:r>
    </w:p>
    <w:p>
      <w:pPr>
        <w:jc w:val="both"/>
        <w:pStyle w:val="Normal"/>
      </w:pPr>
      <w:r>
        <w:rPr>
          <w:rFonts w:hAnsi="Times New Roman" w:cs="Times New Roman"/>
        </w:rPr>
        <w:t xml:space="preserve">Sredstva osigurana u državnom proračunu bi se, sukladno članku 92. i 108. Zakona o cestama, raspodijelila županijskim uprava za ceste i jedinicama lokalne i regionalne samouprave kao potpora za održavanje, rekonstrukciju i građenje županijskih, lokalnih i nerazvrstanih cesta.Odstupanje u odnosu na rebalans za 2025. godinu:
</w:t>
      </w:r>
    </w:p>
    <w:p>
      <w:pPr>
        <w:jc w:val="both"/>
        <w:pStyle w:val="Normal"/>
      </w:pPr>
      <w:r>
        <w:rPr>
          <w:rFonts w:hAnsi="Times New Roman" w:cs="Times New Roman"/>
        </w:rPr>
        <w:t xml:space="preserve">Tijekom prošlih i tekuće godine Vlada Republike Hrvatske donijela je nekoliko Odluka i Zaključaka kojima je obvezala Ministartvo mora, prometa i infrastrukture da sufinancira sanaciju i izgradnju nekoliko javnih i nerazvrtanih cesta na području Republike Hrvatske. Tako je 2023. godine donijet Zaključak kojim je u 2026. godini potrebno osigurati sredstva u iznosu od 1.000.000,00 eura za izgradnju spojne ceste Vid-Nova Sela u Dubrovačko-neretvanskoj županiji. Također u 2023. godini donesena je i Odluka o izgradnji ceste Popovac-Kneževo-Sarok (Mađarska) za koju je potrebno osgurati sredstva u iznosu od 560.000,00 eura. Tijekom 2025. godine Vlada RH donijela je dvije Odluke kojima se ovo ministarstvo obvezuje da sufinancira izgradnju ceste Dubovica-Sveta Nedjelja na otoku Hvaru i nerazvrstane ceste u Općini Lovinac, a za provedbu ove dvije Odluke potrebno je osigurati sredtva u iznosu od 2.523.517,50 eura. Isto tako, u proceduri donošenja je Odluka VRH-a o osiguranju sredstava za Projekt rekonstrucije županijske ceste ŽC6142 Podstrana-Tugare-Žrniovnica u Splitsko-dalmatinskoj županiji, a za ovu namjenu potrebno je osigurati sredstva u iznosu od 7.000.000,00 eura. Sukladno zahtjevima jedinica lokalne samouprave planira se i osiguranje sredstava u iznosu od 3.000.000,00 eura za sanaciju nerazvrstanih cesta.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ugovora sklopljenih sa županijskim upravama za ceste koje  upravljaju županijskim i lokalnim cestama</w:t>
            </w:r>
          </w:p>
        </w:tc>
        <w:tc>
          <w:tcPr>
            <w:tcW w:w="2245.32" w:type="dxa"/>
            <w:vAlign w:val="center"/>
          </w:tcPr>
          <w:p>
            <w:pPr>
              <w:jc w:val="both"/>
              <w:pStyle w:val="CellColumn"/>
            </w:pPr>
            <w:r>
              <w:rPr>
                <w:rFonts w:hAnsi="Times New Roman" w:cs="Times New Roman"/>
              </w:rPr>
              <w:t xml:space="preserve">Temeljem odluke ministra mora, prometa i infrastrukture isplaćuju se sredstva potpore za održavanje, rekonstrukciju i održavanje županijskih i lokalnih cesta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4"/>
      </w:pPr>
      <w:r>
        <w:rPr>
          <w:rFonts w:hAnsi="Times New Roman" w:cs="Times New Roman"/>
        </w:rPr>
        <w:t xml:space="preserve">A819031 PROVEDBA UGOVORA O KONCESIJI - BINA-ISTRA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Ugovor o koncesiji za financiranje, građenje, upravljanje i održavanje "Jadranske autoceste" dionica: Dragonja-Pula i Kanfanar-Pazin-Matulji (Prva i druga faza), od 25. rujna 1995. godine sa sedam izmjena Ugovora - članci 26.2 i 27.2 Poglavlja 5. Ugovora o koncesiji za financiranje, građenje, upravljanje i održavanje „Jadranske autoceste“ - dionica Dragonja-Pula i Kanfanar-Pazin-Matulji (Prva i druga faza) od 25. rujna 1995. godine i članak 6. Priloga 19. Ugovora o izmjenama i dopunama br. 6 Ugovora o koncesiji za financiranje, građenje, upravljanje i održavanje „Jadranske autoceste“ - dionica Dragonja-Pula i Kanfanar-Pazin-Matulji (Prva i druga faza) od 04. studenoga 2020. godine, odnosno članak 6. Priloga 19. Ugovora o izmjenama i dopunama br. 7 Ugovora o koncesiji za financiranje, građenje, upravljanje i održavanje „Jadranske autoceste“ - dionica Dragonja-Pula i Kanfanar-Pazin-Matulji (Prva i druga faza) od 10. svibnja 2023.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A819031-PROVEDBA UGOVORA O KONCESIJI - BINA-ISTRA</w:t>
            </w:r>
          </w:p>
        </w:tc>
        <w:tc>
          <w:tcPr>
            <w:tcW w:w="1632.96" w:type="dxa"/>
            <w:vAlign w:val="center"/>
          </w:tcPr>
          <w:p>
            <w:pPr>
              <w:jc w:val="both"/>
              <w:pStyle w:val="CellColumn"/>
            </w:pPr>
            <w:r>
              <w:rPr>
                <w:rFonts w:hAnsi="Times New Roman" w:cs="Times New Roman"/>
              </w:rPr>
              <w:t xml:space="preserve">30.141.186</w:t>
            </w:r>
          </w:p>
        </w:tc>
        <w:tc>
          <w:tcPr>
            <w:tcW w:w="1632.96" w:type="dxa"/>
            <w:vAlign w:val="center"/>
          </w:tcPr>
          <w:p>
            <w:pPr>
              <w:jc w:val="both"/>
              <w:pStyle w:val="CellColumn"/>
            </w:pPr>
            <w:r>
              <w:rPr>
                <w:rFonts w:hAnsi="Times New Roman" w:cs="Times New Roman"/>
              </w:rPr>
              <w:t xml:space="preserve">29.933.510</w:t>
            </w:r>
          </w:p>
        </w:tc>
        <w:tc>
          <w:tcPr>
            <w:tcW w:w="1632.96" w:type="dxa"/>
            <w:vAlign w:val="center"/>
          </w:tcPr>
          <w:p>
            <w:pPr>
              <w:jc w:val="both"/>
              <w:pStyle w:val="CellColumn"/>
            </w:pPr>
            <w:r>
              <w:rPr>
                <w:rFonts w:hAnsi="Times New Roman" w:cs="Times New Roman"/>
              </w:rPr>
              <w:t xml:space="preserve">34.641.944</w:t>
            </w:r>
          </w:p>
        </w:tc>
        <w:tc>
          <w:tcPr>
            <w:tcW w:w="1632.96" w:type="dxa"/>
            <w:vAlign w:val="center"/>
          </w:tcPr>
          <w:p>
            <w:pPr>
              <w:jc w:val="both"/>
              <w:pStyle w:val="CellColumn"/>
            </w:pPr>
            <w:r>
              <w:rPr>
                <w:rFonts w:hAnsi="Times New Roman" w:cs="Times New Roman"/>
              </w:rPr>
              <w:t xml:space="preserve">37.900.000</w:t>
            </w:r>
          </w:p>
        </w:tc>
        <w:tc>
          <w:tcPr>
            <w:tcW w:w="1632.96" w:type="dxa"/>
            <w:vAlign w:val="center"/>
          </w:tcPr>
          <w:p>
            <w:pPr>
              <w:jc w:val="both"/>
              <w:pStyle w:val="CellColumn"/>
            </w:pPr>
            <w:r>
              <w:rPr>
                <w:rFonts w:hAnsi="Times New Roman" w:cs="Times New Roman"/>
              </w:rPr>
              <w:t xml:space="preserve">34.420.662</w:t>
            </w:r>
          </w:p>
        </w:tc>
        <w:tc>
          <w:tcPr>
            <w:tcW w:w="510.3" w:type="dxa"/>
            <w:vAlign w:val="center"/>
          </w:tcPr>
          <w:p>
            <w:pPr>
              <w:jc w:val="both"/>
              <w:pStyle w:val="CellColumn"/>
            </w:pPr>
            <w:r>
              <w:rPr>
                <w:rFonts w:hAnsi="Times New Roman" w:cs="Times New Roman"/>
              </w:rPr>
              <w:t xml:space="preserve">115,7</w:t>
            </w:r>
          </w:p>
        </w:tc>
      </w:tr>
    </w:tbl>
    <w:p>
      <w:pPr>
        <w:jc w:val="left"/>
      </w:pPr>
      <w:r>
        <w:rPr>
          <w:rFonts w:hAnsi="Times New Roman" w:cs="Times New Roman"/>
        </w:rPr>
        <w:t xml:space="preserve"/>
      </w:r>
    </w:p>
    <w:p>
      <w:pPr>
        <w:jc w:val="both"/>
        <w:pStyle w:val="Normal"/>
      </w:pPr>
      <w:r>
        <w:rPr>
          <w:rFonts w:hAnsi="Times New Roman" w:cs="Times New Roman"/>
        </w:rPr>
        <w:t xml:space="preserve">Navedena aktivnost provodi se kontinuirano do isteka Ugovora o koncesiji, odnosno najkasnije do 15.12.2041., no efektivno do 15.03.2041., ukoliko se zadnja rata kredita plati u skladu s planom otplate kredita. 
</w:t>
      </w:r>
    </w:p>
    <w:p>
      <w:pPr>
        <w:jc w:val="both"/>
        <w:pStyle w:val="Normal"/>
      </w:pPr>
      <w:r>
        <w:rPr>
          <w:rFonts w:hAnsi="Times New Roman" w:cs="Times New Roman"/>
        </w:rPr>
        <w:t xml:space="preserve">Ugovor o koncesiji za financiranje, građenje, upravljanje i održavanje „Jadranske autoceste“ - dionica Dragonja-Pula i Kanfanar-Pazin-Matulji (Prva i druga faza), sklopljenim između Republike Hrvatske kao davateljem koncesije i društva Bina-Istra d.d. kao koncesionara od 25. rujna 1995. godine (sedam izmjena i dopuna tog Ugovora; od 18. rujna 1997. godine, od 27. kolovoza 1999. godine, od 25. veljače 2003. godine, od 25. kolovoza 2008. godine, od 5. listopada 2018. godine, od 4.studenog 2020, od 10. svibnja 2023. godine). 
</w:t>
      </w:r>
    </w:p>
    <w:p>
      <w:pPr>
        <w:jc w:val="both"/>
        <w:pStyle w:val="Normal"/>
      </w:pPr>
      <w:r>
        <w:rPr>
          <w:rFonts w:hAnsi="Times New Roman" w:cs="Times New Roman"/>
        </w:rPr>
        <w:t xml:space="preserve">Koncesijskim ugovorom između Republike Hrvatske i društva Bina Istra d.d. se nadoknađuje financijski doprinos, koji predstavlja razliku između predviđenih prihoda od cestarine i troškova definiranih Ugovorom o koncesiji. Naime, dolazi do razlike između predviđenih prihoda od cestarine i troškova definiranih Prilogom 19. izmjena i dopuna Ugovora od 10. svibnja 2023. godine, budući da predviđeni prihodi od cestarine nisu dovoljni za pokrivanje svih definiranih troškova u danom roku trajanja koncesije. Iznos Financijskog doprinosa određuje se na temelju odobrenih troškova i cijene cestarine na Istarskom ipsilonu od strane Koncedenta na godišnjoj razini, a izračunava se pomoću financijskog modela. 
</w:t>
      </w:r>
    </w:p>
    <w:p>
      <w:pPr>
        <w:jc w:val="both"/>
        <w:pStyle w:val="Normal"/>
      </w:pPr>
      <w:r>
        <w:rPr>
          <w:rFonts w:hAnsi="Times New Roman" w:cs="Times New Roman"/>
        </w:rPr>
        <w:t xml:space="preserve">Sredstva s ove aktivnosti planiraju se za financiranje sljedećih aktivnosti:  
</w:t>
      </w:r>
    </w:p>
    <w:p>
      <w:pPr>
        <w:jc w:val="both"/>
        <w:pStyle w:val="Normal"/>
      </w:pPr>
      <w:r>
        <w:rPr>
          <w:rFonts w:hAnsi="Times New Roman" w:cs="Times New Roman"/>
        </w:rPr>
        <w:t xml:space="preserve">-	podmirenje standardnih troškova Koncesionara  
</w:t>
      </w:r>
    </w:p>
    <w:p>
      <w:pPr>
        <w:jc w:val="both"/>
        <w:pStyle w:val="Normal"/>
      </w:pPr>
      <w:r>
        <w:rPr>
          <w:rFonts w:hAnsi="Times New Roman" w:cs="Times New Roman"/>
        </w:rPr>
        <w:t xml:space="preserve">-	troškove upravljanja i održavanja (na temelju ugovora o održavanju i upravljanju 142 km autoceste na Istarskom ipsilonu)  
</w:t>
      </w:r>
    </w:p>
    <w:p>
      <w:pPr>
        <w:jc w:val="both"/>
        <w:pStyle w:val="Normal"/>
      </w:pPr>
      <w:r>
        <w:rPr>
          <w:rFonts w:hAnsi="Times New Roman" w:cs="Times New Roman"/>
        </w:rPr>
        <w:t xml:space="preserve">-	izvanredno održavanje (tunel Učka, obnova autoceste)  
</w:t>
      </w:r>
    </w:p>
    <w:p>
      <w:pPr>
        <w:jc w:val="both"/>
        <w:pStyle w:val="Normal"/>
      </w:pPr>
      <w:r>
        <w:rPr>
          <w:rFonts w:hAnsi="Times New Roman" w:cs="Times New Roman"/>
        </w:rPr>
        <w:t xml:space="preserve">-	te servisiranje duga (otplata kamate i glavnice na povučena sredstva iz kredita temeljem ugovora o kreditu). 
</w:t>
      </w:r>
    </w:p>
    <w:p>
      <w:pPr>
        <w:jc w:val="both"/>
        <w:pStyle w:val="Normal"/>
      </w:pPr>
      <w:r>
        <w:rPr>
          <w:rFonts w:hAnsi="Times New Roman" w:cs="Times New Roman"/>
        </w:rPr>
        <w:t xml:space="preserve"> 
</w:t>
      </w:r>
    </w:p>
    <w:p>
      <w:pPr>
        <w:jc w:val="both"/>
        <w:pStyle w:val="Normal"/>
      </w:pPr>
      <w:r>
        <w:rPr>
          <w:rFonts w:hAnsi="Times New Roman" w:cs="Times New Roman"/>
        </w:rPr>
        <w:t xml:space="preserve">U 2026. godini planira se iznos od 34.641.944 eura: 
</w:t>
      </w:r>
    </w:p>
    <w:p>
      <w:pPr>
        <w:jc w:val="both"/>
        <w:pStyle w:val="Normal"/>
      </w:pPr>
      <w:r>
        <w:rPr>
          <w:rFonts w:hAnsi="Times New Roman" w:cs="Times New Roman"/>
        </w:rPr>
        <w:t xml:space="preserve">1.) Projicirani troškovi (Upravljanje i održavanje, Izvanredno održavanje, Servisiranje duga, Koncesionarevi troškovi) = 87.312.530 EUR 
</w:t>
      </w:r>
    </w:p>
    <w:p>
      <w:pPr>
        <w:jc w:val="both"/>
        <w:pStyle w:val="Normal"/>
      </w:pPr>
      <w:r>
        <w:rPr>
          <w:rFonts w:hAnsi="Times New Roman" w:cs="Times New Roman"/>
        </w:rPr>
        <w:t xml:space="preserve">2.) Projicirani prihodi (Cestarine, Ostali prihodi) = 52.670.586,00 EUR 
</w:t>
      </w:r>
    </w:p>
    <w:p>
      <w:pPr>
        <w:jc w:val="both"/>
        <w:pStyle w:val="Normal"/>
      </w:pPr>
      <w:r>
        <w:rPr>
          <w:rFonts w:hAnsi="Times New Roman" w:cs="Times New Roman"/>
        </w:rPr>
        <w:t xml:space="preserve">Razlika (1-2) : Predviđena osnova financijskog doprinosa : 37.641.944 EUR 
</w:t>
      </w:r>
    </w:p>
    <w:p>
      <w:pPr>
        <w:jc w:val="both"/>
        <w:pStyle w:val="Normal"/>
      </w:pPr>
      <w:r>
        <w:rPr>
          <w:rFonts w:hAnsi="Times New Roman" w:cs="Times New Roman"/>
        </w:rPr>
        <w:t xml:space="preserve">Planirana sredstva za financijski doprinos: 34.641.944 EUR 
</w:t>
      </w:r>
    </w:p>
    <w:p>
      <w:pPr>
        <w:jc w:val="both"/>
        <w:pStyle w:val="Normal"/>
      </w:pPr>
      <w:r>
        <w:rPr>
          <w:rFonts w:hAnsi="Times New Roman" w:cs="Times New Roman"/>
        </w:rPr>
        <w:t xml:space="preserve">U 2027. godini planira se iznos od 37.900.000 eura: 
</w:t>
      </w:r>
    </w:p>
    <w:p>
      <w:pPr>
        <w:jc w:val="both"/>
        <w:pStyle w:val="Normal"/>
      </w:pPr>
      <w:r>
        <w:rPr>
          <w:rFonts w:hAnsi="Times New Roman" w:cs="Times New Roman"/>
        </w:rPr>
        <w:t xml:space="preserve">1.) Projicirani troškovi (Upravljanje i održavanje, Izvanredno održavanje, Servisiranje duga, troškovi Koncesionara) = 95.397.690,00 EUR 
</w:t>
      </w:r>
    </w:p>
    <w:p>
      <w:pPr>
        <w:jc w:val="both"/>
        <w:pStyle w:val="Normal"/>
      </w:pPr>
      <w:r>
        <w:rPr>
          <w:rFonts w:hAnsi="Times New Roman" w:cs="Times New Roman"/>
        </w:rPr>
        <w:t xml:space="preserve">2.) Projicirani prihodi (Cestarine, Ostali prihodi) = 57.497.690,00 EUR 
</w:t>
      </w:r>
    </w:p>
    <w:p>
      <w:pPr>
        <w:jc w:val="both"/>
        <w:pStyle w:val="Normal"/>
      </w:pPr>
      <w:r>
        <w:rPr>
          <w:rFonts w:hAnsi="Times New Roman" w:cs="Times New Roman"/>
        </w:rPr>
        <w:t xml:space="preserve">Razlika (1-2) : Predviđena osnova financijskog doprinosa : 37.900.000 EUR 
</w:t>
      </w:r>
    </w:p>
    <w:p>
      <w:pPr>
        <w:jc w:val="both"/>
        <w:pStyle w:val="Normal"/>
      </w:pPr>
      <w:r>
        <w:rPr>
          <w:rFonts w:hAnsi="Times New Roman" w:cs="Times New Roman"/>
        </w:rPr>
        <w:t xml:space="preserve">Planirana sredstva za financijski doprinos: 37.900.000 EUR 
</w:t>
      </w:r>
    </w:p>
    <w:p>
      <w:pPr>
        <w:jc w:val="both"/>
        <w:pStyle w:val="Normal"/>
      </w:pPr>
      <w:r>
        <w:rPr>
          <w:rFonts w:hAnsi="Times New Roman" w:cs="Times New Roman"/>
        </w:rPr>
        <w:t xml:space="preserve">U 2028. godini planira se iznos od 34.420.662,00 eura: 
</w:t>
      </w:r>
    </w:p>
    <w:p>
      <w:pPr>
        <w:jc w:val="both"/>
        <w:pStyle w:val="Normal"/>
      </w:pPr>
      <w:r>
        <w:rPr>
          <w:rFonts w:hAnsi="Times New Roman" w:cs="Times New Roman"/>
        </w:rPr>
        <w:t xml:space="preserve">1.) Projicirani troškovi (Upravljanje i održavanje, Izvanredno održavanje, Servisiranje duga, troškovi Koncesionara) = 93.454.592,00    EUR 
</w:t>
      </w:r>
    </w:p>
    <w:p>
      <w:pPr>
        <w:jc w:val="both"/>
        <w:pStyle w:val="Normal"/>
      </w:pPr>
      <w:r>
        <w:rPr>
          <w:rFonts w:hAnsi="Times New Roman" w:cs="Times New Roman"/>
        </w:rPr>
        <w:t xml:space="preserve">2.) Projicirani prihodi (Cestarine, Ostali prihodi) = 59.033.930,00 EUR 
</w:t>
      </w:r>
    </w:p>
    <w:p>
      <w:pPr>
        <w:jc w:val="both"/>
        <w:pStyle w:val="Normal"/>
      </w:pPr>
      <w:r>
        <w:rPr>
          <w:rFonts w:hAnsi="Times New Roman" w:cs="Times New Roman"/>
        </w:rPr>
        <w:t xml:space="preserve">Razlika (1-2) : Predviđena osnova financijskog doprinosa : 34.420.662,00 EUR 
</w:t>
      </w:r>
    </w:p>
    <w:p>
      <w:pPr>
        <w:jc w:val="both"/>
        <w:pStyle w:val="Normal"/>
      </w:pPr>
      <w:r>
        <w:rPr>
          <w:rFonts w:hAnsi="Times New Roman" w:cs="Times New Roman"/>
        </w:rPr>
        <w:t xml:space="preserve">Planirana sredstva za financijski doprinos: 34.420.662,00 EUR 
</w:t>
      </w:r>
    </w:p>
    <w:p>
      <w:pPr>
        <w:jc w:val="both"/>
        <w:pStyle w:val="Normal"/>
      </w:pPr>
      <w:r>
        <w:rPr>
          <w:rFonts w:hAnsi="Times New Roman" w:cs="Times New Roman"/>
        </w:rPr>
        <w:t xml:space="preserve">Projicirani prihodi (Cestarine, Ostali prihodi) za 2026., 2027. i 2028.  godinu nisu rađeni pod pretpostavkom uvođenja novog sustava naplate odnosno Free Flow-a 
</w:t>
      </w:r>
    </w:p>
    <w:p>
      <w:pPr>
        <w:jc w:val="both"/>
        <w:pStyle w:val="Normal"/>
      </w:pPr>
      <w:r>
        <w:rPr>
          <w:rFonts w:hAnsi="Times New Roman" w:cs="Times New Roman"/>
        </w:rPr>
        <w:t xml:space="preserve">Društvo će kontinuirano vršiti napore s ciljem optimizacije troškova i maksimiziranja prihoda u promatranom periodu te će pravovremeno obavijestiti Koncedenta o eventualnoj reviziji potrebnih iznosa financijskog doprinosa. Mogućnost optimizacije s prihodovne strane primarno ovisi o razinama prometa na Istarskom ipsilonu i stvarno realiziranim prihodima od cestarine, a troškovna baza o stabilizaciji inflatornih pritisaka koji se u najvećoj mjeri očituju u većim troškovima redovnog i izvanrednog održavanja. 
</w:t>
      </w:r>
    </w:p>
    <w:p>
      <w:pPr>
        <w:jc w:val="both"/>
        <w:pStyle w:val="Normal"/>
      </w:pPr>
      <w:r>
        <w:rPr>
          <w:rFonts w:hAnsi="Times New Roman" w:cs="Times New Roman"/>
        </w:rPr>
        <w:t xml:space="preserve">Definiranje limita ispod navedenih razina ugrozilo bi likvidnost i solventnost društva i onemogućilo isto da uredno servisira sve svoje obveze pri čemu posebno izdvajamo servisiranje duga sredinom prosinca svake godine koje predstavlja cca. 80% proračuna koncesionara. 
</w:t>
      </w:r>
    </w:p>
    <w:p>
      <w:pPr>
        <w:jc w:val="both"/>
        <w:pStyle w:val="Normal"/>
      </w:pPr>
      <w:r>
        <w:rPr>
          <w:rFonts w:hAnsi="Times New Roman" w:cs="Times New Roman"/>
        </w:rPr>
        <w:t xml:space="preserve">Društvo Bina-Istra d.d. će tijekom programskog razdoblja (od 2026. do 2028. godine) izvoditi iduće radove: 
</w:t>
      </w:r>
    </w:p>
    <w:p>
      <w:pPr>
        <w:jc w:val="both"/>
        <w:pStyle w:val="Normal"/>
      </w:pPr>
      <w:r>
        <w:rPr>
          <w:rFonts w:hAnsi="Times New Roman" w:cs="Times New Roman"/>
        </w:rPr>
        <w:t xml:space="preserve">•	Dopuna na puni profil dionice od tunela Učka (Kvarner) do čvora Matulji  što predstavlja Pod-fazu 2B2-2 te dupliranje vijadukta Limska Draga i mosta Mirna što predstavlja Pod-fazu 2B2-3 
</w:t>
      </w:r>
    </w:p>
    <w:p>
      <w:pPr>
        <w:jc w:val="both"/>
        <w:pStyle w:val="Normal"/>
      </w:pPr>
      <w:r>
        <w:rPr>
          <w:rFonts w:hAnsi="Times New Roman" w:cs="Times New Roman"/>
        </w:rPr>
        <w:t xml:space="preserve">Ukupan iznos investicije je 199  milijuna eura na 31.12.2022. godine uvećan za Ostale građevinske radove Pod-faze 2B2-2 i Pod-faze 2B2-3 ukupne vrijednosti 14 milijuna eura. 
</w:t>
      </w:r>
    </w:p>
    <w:p>
      <w:pPr>
        <w:jc w:val="both"/>
        <w:pStyle w:val="Normal"/>
      </w:pPr>
      <w:r>
        <w:rPr>
          <w:rFonts w:hAnsi="Times New Roman" w:cs="Times New Roman"/>
        </w:rPr>
        <w:t xml:space="preserve">Predviđeno je da se i postojeća brza cesta na određenim dijelovima rekonstruira kako bi se poboljšali projektni element te je obuhvaćena zaštita od buke kako za novi tako i za postojeći kolnik.  Ukupna duljina dionice je 10,30 kilometara te se sastoji od 5 pod-dionica: 
</w:t>
      </w:r>
    </w:p>
    <w:p>
      <w:pPr>
        <w:jc w:val="both"/>
        <w:pStyle w:val="Normal"/>
      </w:pPr>
      <w:r>
        <w:rPr>
          <w:rFonts w:hAnsi="Times New Roman" w:cs="Times New Roman"/>
        </w:rPr>
        <w:t xml:space="preserve">-2B2-2-1 – Dio A  - Proširenje odmorišta Kvarner  
</w:t>
      </w:r>
    </w:p>
    <w:p>
      <w:pPr>
        <w:jc w:val="both"/>
        <w:pStyle w:val="Normal"/>
      </w:pPr>
      <w:r>
        <w:rPr>
          <w:rFonts w:hAnsi="Times New Roman" w:cs="Times New Roman"/>
        </w:rPr>
        <w:t xml:space="preserve">-2B2-2-1 – Dio B – izgradnja 2 dodatne kolničke trake između završetka pod-faze 2B2-1 i početka faze 2B2-2 (1,3 km) 
</w:t>
      </w:r>
    </w:p>
    <w:p>
      <w:pPr>
        <w:jc w:val="both"/>
        <w:pStyle w:val="Normal"/>
      </w:pPr>
      <w:r>
        <w:rPr>
          <w:rFonts w:hAnsi="Times New Roman" w:cs="Times New Roman"/>
        </w:rPr>
        <w:t xml:space="preserve">-2B2-2-2 Odmorište Kvarner – Veprinac (2,8 km) 
</w:t>
      </w:r>
    </w:p>
    <w:p>
      <w:pPr>
        <w:jc w:val="both"/>
        <w:pStyle w:val="Normal"/>
      </w:pPr>
      <w:r>
        <w:rPr>
          <w:rFonts w:hAnsi="Times New Roman" w:cs="Times New Roman"/>
        </w:rPr>
        <w:t xml:space="preserve">-2B2-2-3 Veprinac – Anđeli (3,5 km) 
</w:t>
      </w:r>
    </w:p>
    <w:p>
      <w:pPr>
        <w:jc w:val="both"/>
        <w:pStyle w:val="Normal"/>
      </w:pPr>
      <w:r>
        <w:rPr>
          <w:rFonts w:hAnsi="Times New Roman" w:cs="Times New Roman"/>
        </w:rPr>
        <w:t xml:space="preserve">-2B2-2-4 Anđeli – Frančići (1,6 km) 
</w:t>
      </w:r>
    </w:p>
    <w:p>
      <w:pPr>
        <w:jc w:val="both"/>
        <w:pStyle w:val="Normal"/>
      </w:pPr>
      <w:r>
        <w:rPr>
          <w:rFonts w:hAnsi="Times New Roman" w:cs="Times New Roman"/>
        </w:rPr>
        <w:t xml:space="preserve">-2B2-2-5 Frančići – Matulji (1,2 km) 
</w:t>
      </w:r>
    </w:p>
    <w:p>
      <w:pPr>
        <w:jc w:val="both"/>
        <w:pStyle w:val="Normal"/>
      </w:pPr>
      <w:r>
        <w:rPr>
          <w:rFonts w:hAnsi="Times New Roman" w:cs="Times New Roman"/>
        </w:rPr>
        <w:t xml:space="preserve">Svrha provedbe ovog projekta je potpuno povezivanje hrvatske mreže autocesta u čvorištu Matulji na riječkoj zaobilaznici. 
</w:t>
      </w:r>
    </w:p>
    <w:p>
      <w:pPr>
        <w:jc w:val="both"/>
        <w:pStyle w:val="Normal"/>
      </w:pPr>
      <w:r>
        <w:rPr>
          <w:rFonts w:hAnsi="Times New Roman" w:cs="Times New Roman"/>
        </w:rPr>
        <w:t xml:space="preserve">Pod-Faza 2B2-3 sastoji se od dupliranje mosta Mirna (aproksimativne duljine 1,4 km)  i dupliranje vijadukta Limska Draga  (aproksimativne duljine 0,6 km) na zapadnom kraku Istarskog Ipsilona, dionici autoceste A9 Umag - Pula. 
</w:t>
      </w:r>
    </w:p>
    <w:p>
      <w:pPr>
        <w:jc w:val="both"/>
        <w:pStyle w:val="Normal"/>
      </w:pPr>
      <w:r>
        <w:rPr>
          <w:rFonts w:hAnsi="Times New Roman" w:cs="Times New Roman"/>
        </w:rPr>
        <w:t xml:space="preserve">-2B2-3-1 Limska Draga (c. 0,6 km) 
</w:t>
      </w:r>
    </w:p>
    <w:p>
      <w:pPr>
        <w:jc w:val="both"/>
        <w:pStyle w:val="Normal"/>
      </w:pPr>
      <w:r>
        <w:rPr>
          <w:rFonts w:hAnsi="Times New Roman" w:cs="Times New Roman"/>
        </w:rPr>
        <w:t xml:space="preserve">-2B2-3-2 most Mirna (c. 1,4 km) 
</w:t>
      </w:r>
    </w:p>
    <w:p>
      <w:pPr>
        <w:jc w:val="both"/>
        <w:pStyle w:val="Normal"/>
      </w:pPr>
      <w:r>
        <w:rPr>
          <w:rFonts w:hAnsi="Times New Roman" w:cs="Times New Roman"/>
        </w:rPr>
        <w:t xml:space="preserve">Ove investicijske mjere će dovesti do niza ključnih koristi među kojima su: povećanje razine sigurnosti (trenutno postoji samo jedan objekt,  2 kolnika se sužavaju na 1 objekt i nakon njega se promet opet vodi po 2 kolnika), smanjenje zagušenja, skraćivanje vremena putovanja, unaprjeđenje zaštite okoliša, nadogradnju sveobuhvatne Transeuropske prometne mreže ("TEN-T") čime se primjereno povezuje Istra s ostatkom Republike Hrvatske (Rijeka – luka, željeznica, Pula – zračna luka – preko cestovne mreže Istarskog ipsilona), poboljšava gospodarska i socijalna kohezija te se ostvaruju znatne gospodarske koristi za građane, posebice u obliku povećanog turizma koji je od vitalnog značaja za istarsku regiju i hrvatsku ekonomiju te poboljšanjem gospodarske i socijalne kohezije za građane. Izgradnja pod-faza 2B2-2 i 2B2-3 povećat će sigurnost autoceste dodavanjem drugog kolnika i barijera između tunela Učka i Matulja te udvostručavanjem mosta Mirna i vijadukta Limska Draga, što će dovesti do manjeg broja teških nesreća i smanjenjem opasnosti koje predstavlja potencijalno usko grlo na izlazu iz udvostručenog tunela Učka. Pod-faza 2B2-2 i Podfaza 2B2-3 smanjit će vrijeme putovanja za korisnike i poboljšati zaštitu okoliša smanjenjem zagušenja što će dovesti do smanjenja emisije CO2 i onečišćenja zraka unutar Parka prirode Učka te poboljšanja zaštite od buke. 
</w:t>
      </w:r>
    </w:p>
    <w:p>
      <w:pPr>
        <w:jc w:val="both"/>
        <w:pStyle w:val="Normal"/>
      </w:pPr>
      <w:r>
        <w:rPr>
          <w:rFonts w:hAnsi="Times New Roman" w:cs="Times New Roman"/>
        </w:rPr>
        <w:t xml:space="preserve">Radovi na izgradnji Pod-faze 2B2-2 i Pod- faze 2B2-3 započeli su dana 25. kolovoza 2023 kada je izdan Nalog za početak radova za prve tri dionice: 2B2-2-2 (izgradnja dviju dodatnih traka između krajnje točke odmorišta Kvarner i čvorišta Veprinac), 2B2-2-3 (izgradnja dviju dodatnih traka između čvorišta Veprinac i čvorišta Anđeli), te dionici 2B2-3-1 (vijadukt Limska Draga).  Drugi Nalog za početak radova za druge tri dionice: 2B2-2-1 – Dio A (proširenje odmorišta Kvarner),  2B2-2-1 – Dio B (izgradnja 2 dodatne kolničke trake između završetka pod-faze 2B2-1 i početka faze 2B2-2 (1,3 km)) i 2B2-3-2 (most Mirna) izdan je 9. veljače 2024. dok je zadnji, treći Nalog za početak radova, koji obuhvaća zadnje dvije  dionice. 2B2-2-4 (Anđeli – Frančići (1,6 km)) i 2B2-2-5 (Frančići – Matulji (1,2 km)) izdan 11.srpnja 2024. Zatvaranje financijske konstrukcije s domaćim i inozemnim bankama službeno je završeno 31. kolovoza 2023. prvim povlačenjem iz terminskog kredita. Predviđeni rok dovršetka svih radova Pod-faze 2B2-2 i 2B2-3 jest 38 mjeseci odnosno kraj listopada 2026. godine.
</w:t>
      </w:r>
    </w:p>
    <w:p>
      <w:pPr>
        <w:jc w:val="both"/>
        <w:pStyle w:val="Normal"/>
      </w:pPr>
      <w:r>
        <w:rPr>
          <w:rFonts w:hAnsi="Times New Roman" w:cs="Times New Roman"/>
        </w:rPr>
        <w:t xml:space="preserve">
</w:t>
      </w:r>
    </w:p>
    <w:p>
      <w:pPr>
        <w:jc w:val="both"/>
        <w:pStyle w:val="Normal"/>
      </w:pPr>
      <w:r>
        <w:rPr>
          <w:rFonts w:hAnsi="Times New Roman" w:cs="Times New Roman"/>
        </w:rPr>
        <w:t xml:space="preserve">Odstupanje u odnosu na rebalans za 2025. godinu:
</w:t>
      </w:r>
    </w:p>
    <w:p>
      <w:pPr>
        <w:jc w:val="both"/>
        <w:pStyle w:val="Normal"/>
      </w:pPr>
      <w:r>
        <w:rPr>
          <w:rFonts w:hAnsi="Times New Roman" w:cs="Times New Roman"/>
        </w:rPr>
        <w:t xml:space="preserve">Sve gore navedene obaveze Davatelja koncesije (RH), podložne su promjenama sukladno Financijskom modelu, a sve prema ugovornoj dokumentaciji. Koncesionar obavještava Koncedenta, odnosno Davatelja koncesije najkasnije do 31.listopada o konačnom iznosu Financijskog doprinosa za narednu godinu. Prognozirani porast prihoda po Financijskom modelu rezultira i povećanim obvezama za Davatelja koncesije, sukladno ugovornoj dokumentaciji. Napomena: Sukladno dostavljenom izračunu financijskog doprinosa od 29. listopada 2025. godine nedostaju sredstva u iznosu od 901.242,00 eura za 2026. godinu.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kilometara novoizgrađenih autocesta u nadležnosti Bina-Istre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Koncesijskim ugovorom između Republike Hrvatske i društva Bina Istra d.d. se nadoknađuje financijski doprinos, koji predstavlja razliku između predviđenih prihoda od cestarine i troškova definiranih Ugovorom o koncesiji, a koji se investira u izgradnju autocesta u nadležnosti društva Bina Istra d.d</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4,10</w:t>
            </w:r>
          </w:p>
        </w:tc>
        <w:tc>
          <w:tcPr>
            <w:tcW w:w="918.54" w:type="dxa"/>
            <w:vAlign w:val="center"/>
          </w:tcPr>
          <w:p>
            <w:pPr>
              <w:jc w:val="both"/>
              <w:pStyle w:val="CellColumn"/>
            </w:pPr>
            <w:r>
              <w:rPr>
                <w:rFonts w:hAnsi="Times New Roman" w:cs="Times New Roman"/>
              </w:rPr>
              <w:t xml:space="preserve">Bina-Istra d.d</w:t>
            </w:r>
          </w:p>
        </w:tc>
        <w:tc>
          <w:tcPr>
            <w:tcW w:w="918.54" w:type="dxa"/>
            <w:vAlign w:val="center"/>
          </w:tcPr>
          <w:p>
            <w:pPr>
              <w:jc w:val="both"/>
              <w:pStyle w:val="CellColumn"/>
            </w:pPr>
            <w:r>
              <w:rPr>
                <w:rFonts w:hAnsi="Times New Roman" w:cs="Times New Roman"/>
              </w:rPr>
              <w:t xml:space="preserve">4,10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Broj kilometara investicijski održavanih autocesta u nadležnosti Bina-Istre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Koncesijskim ugovorom između Republike Hrvatske i društva Bina Istra d.d. se nadoknađuje financijski doprinos, koji predstavlja razliku između predviđenih prihoda od cestarine i troškova definiranih Ugovorom o koncesiji, a koji se investira u održavanje autocesta u nadležnosti društva Bina Istra d.d.</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16,00</w:t>
            </w:r>
          </w:p>
        </w:tc>
        <w:tc>
          <w:tcPr>
            <w:tcW w:w="918.54" w:type="dxa"/>
            <w:vAlign w:val="center"/>
          </w:tcPr>
          <w:p>
            <w:pPr>
              <w:jc w:val="both"/>
              <w:pStyle w:val="CellColumn"/>
            </w:pPr>
            <w:r>
              <w:rPr>
                <w:rFonts w:hAnsi="Times New Roman" w:cs="Times New Roman"/>
              </w:rPr>
              <w:t xml:space="preserve">Bina-Istra d.d.</w:t>
            </w:r>
          </w:p>
        </w:tc>
        <w:tc>
          <w:tcPr>
            <w:tcW w:w="918.54" w:type="dxa"/>
            <w:vAlign w:val="center"/>
          </w:tcPr>
          <w:p>
            <w:pPr>
              <w:jc w:val="both"/>
              <w:pStyle w:val="CellColumn"/>
            </w:pPr>
            <w:r>
              <w:rPr>
                <w:rFonts w:hAnsi="Times New Roman" w:cs="Times New Roman"/>
              </w:rPr>
              <w:t xml:space="preserve">15,80</w:t>
            </w:r>
          </w:p>
        </w:tc>
        <w:tc>
          <w:tcPr>
            <w:tcW w:w="918.54" w:type="dxa"/>
            <w:vAlign w:val="center"/>
          </w:tcPr>
          <w:p>
            <w:pPr>
              <w:jc w:val="both"/>
              <w:pStyle w:val="CellColumn"/>
            </w:pPr>
            <w:r>
              <w:rPr>
                <w:rFonts w:hAnsi="Times New Roman" w:cs="Times New Roman"/>
              </w:rPr>
              <w:t xml:space="preserve">16,00</w:t>
            </w:r>
          </w:p>
        </w:tc>
        <w:tc>
          <w:tcPr>
            <w:tcW w:w="918.54" w:type="dxa"/>
            <w:vAlign w:val="center"/>
          </w:tcPr>
          <w:p>
            <w:pPr>
              <w:jc w:val="both"/>
              <w:pStyle w:val="CellColumn"/>
            </w:pPr>
            <w:r>
              <w:rPr>
                <w:rFonts w:hAnsi="Times New Roman" w:cs="Times New Roman"/>
              </w:rPr>
              <w:t xml:space="preserve">15,80</w:t>
            </w:r>
          </w:p>
        </w:tc>
      </w:tr>
    </w:tbl>
    <w:p>
      <w:pPr>
        <w:jc w:val="left"/>
      </w:pPr>
      <w:r>
        <w:rPr>
          <w:rFonts w:hAnsi="Times New Roman" w:cs="Times New Roman"/>
        </w:rPr>
        <w:t xml:space="preserve"/>
      </w:r>
    </w:p>
    <w:p>
      <w:pPr>
        <w:jc w:val="left"/>
        <w:pStyle w:val="Heading4"/>
      </w:pPr>
      <w:r>
        <w:rPr>
          <w:rFonts w:hAnsi="Times New Roman" w:cs="Times New Roman"/>
        </w:rPr>
        <w:t xml:space="preserve">A819085 JAVNE ISPRAVE KOJIMA SE OSTVARUJU POVLASTICE U PROMETU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povlasticama u prometu   
</w:t>
      </w:r>
    </w:p>
    <w:p>
      <w:pPr>
        <w:jc w:val="both"/>
        <w:pStyle w:val="Normal5"/>
      </w:pPr>
      <w:r>
        <w:rPr>
          <w:rFonts w:hAnsi="Times New Roman" w:cs="Times New Roman"/>
        </w:rPr>
        <w:t xml:space="preserve">- Odluka o visini troškova izdavanja Europske i Nacionalne iskaznice za osobe s invaliditetom, Europske parkirališne karte Zakon o proračunu za osobe s invaliditetom i Parkirališne karte udruge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A819085-JAVNE ISPRAVE KOJIMA SE OSTVARUJU POVLASTICE U PROMETU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1.700.000</w:t>
            </w:r>
          </w:p>
        </w:tc>
        <w:tc>
          <w:tcPr>
            <w:tcW w:w="1632.96" w:type="dxa"/>
            <w:vAlign w:val="center"/>
          </w:tcPr>
          <w:p>
            <w:pPr>
              <w:jc w:val="both"/>
              <w:pStyle w:val="CellColumn"/>
            </w:pPr>
            <w:r>
              <w:rPr>
                <w:rFonts w:hAnsi="Times New Roman" w:cs="Times New Roman"/>
              </w:rPr>
              <w:t xml:space="preserve">400.000</w:t>
            </w:r>
          </w:p>
        </w:tc>
        <w:tc>
          <w:tcPr>
            <w:tcW w:w="1632.96" w:type="dxa"/>
            <w:vAlign w:val="center"/>
          </w:tcPr>
          <w:p>
            <w:pPr>
              <w:jc w:val="both"/>
              <w:pStyle w:val="CellColumn"/>
            </w:pPr>
            <w:r>
              <w:rPr>
                <w:rFonts w:hAnsi="Times New Roman" w:cs="Times New Roman"/>
              </w:rPr>
              <w:t xml:space="preserve">500.000</w:t>
            </w:r>
          </w:p>
        </w:tc>
        <w:tc>
          <w:tcPr>
            <w:tcW w:w="1632.96" w:type="dxa"/>
            <w:vAlign w:val="center"/>
          </w:tcPr>
          <w:p>
            <w:pPr>
              <w:jc w:val="both"/>
              <w:pStyle w:val="CellColumn"/>
            </w:pPr>
            <w:r>
              <w:rPr>
                <w:rFonts w:hAnsi="Times New Roman" w:cs="Times New Roman"/>
              </w:rPr>
              <w:t xml:space="preserve">400.000</w:t>
            </w:r>
          </w:p>
        </w:tc>
        <w:tc>
          <w:tcPr>
            <w:tcW w:w="510.3" w:type="dxa"/>
            <w:vAlign w:val="center"/>
          </w:tcPr>
          <w:p>
            <w:pPr>
              <w:jc w:val="both"/>
              <w:pStyle w:val="CellColumn"/>
            </w:pPr>
            <w:r>
              <w:rPr>
                <w:rFonts w:hAnsi="Times New Roman" w:cs="Times New Roman"/>
              </w:rPr>
              <w:t xml:space="preserve">23,5</w:t>
            </w:r>
          </w:p>
        </w:tc>
      </w:tr>
    </w:tbl>
    <w:p>
      <w:pPr>
        <w:jc w:val="left"/>
      </w:pPr>
      <w:r>
        <w:rPr>
          <w:rFonts w:hAnsi="Times New Roman" w:cs="Times New Roman"/>
        </w:rPr>
        <w:t xml:space="preserve"/>
      </w:r>
    </w:p>
    <w:p>
      <w:pPr>
        <w:jc w:val="both"/>
        <w:pStyle w:val="Normal"/>
      </w:pPr>
      <w:r>
        <w:rPr>
          <w:rFonts w:hAnsi="Times New Roman" w:cs="Times New Roman"/>
        </w:rPr>
        <w:t xml:space="preserve">Zakonom o povlasticama u prometu (NN 133/22) uvedene su promjene koje olakšavaju ostvarivanje povlastica u prometu, i to posebice osobama s invaliditetom. Sva prava osoba s invaliditetom se evidentiraju kroz jedinstveni sustav, a ista se ostvaruju putem Nacionalne iskaznice za osobe s invaliditetom. Zajedno s nacionalnom iskaznicom kao obostrani dokument izdaju se i EU iskaznice za ostvarivanja njihovih prava iz područja mobilnosti na području Europske unije. Uz iskaznicu kroz sustav se izdaje zaštićena parkirališna karta za osobe s invaliditetom. 
</w:t>
      </w:r>
    </w:p>
    <w:p>
      <w:pPr>
        <w:jc w:val="both"/>
        <w:pStyle w:val="Normal"/>
      </w:pPr>
      <w:r>
        <w:rPr>
          <w:rFonts w:hAnsi="Times New Roman" w:cs="Times New Roman"/>
        </w:rPr>
        <w:t xml:space="preserve">Pravni okvir za provođenje Zakona predstavljaju slijedeći podzakonski akti:  
</w:t>
      </w:r>
    </w:p>
    <w:p>
      <w:pPr>
        <w:jc w:val="both"/>
        <w:pStyle w:val="Normal"/>
      </w:pPr>
      <w:r>
        <w:rPr>
          <w:rFonts w:hAnsi="Times New Roman" w:cs="Times New Roman"/>
        </w:rPr>
        <w:t xml:space="preserve">- Pravilnik o Europskoj parkirališnoj karti za osobe s invaliditetom (NN 157/23) 
</w:t>
      </w:r>
    </w:p>
    <w:p>
      <w:pPr>
        <w:jc w:val="both"/>
        <w:pStyle w:val="Normal"/>
      </w:pPr>
      <w:r>
        <w:rPr>
          <w:rFonts w:hAnsi="Times New Roman" w:cs="Times New Roman"/>
        </w:rPr>
        <w:t xml:space="preserve">- Pravilnik o Europskoj i Nacionalnoj iskaznici za osobe s invaliditetom (NN 157/23) 
</w:t>
      </w:r>
    </w:p>
    <w:p>
      <w:pPr>
        <w:jc w:val="both"/>
        <w:pStyle w:val="Normal"/>
      </w:pPr>
      <w:r>
        <w:rPr>
          <w:rFonts w:hAnsi="Times New Roman" w:cs="Times New Roman"/>
        </w:rPr>
        <w:t xml:space="preserve">- Pravilnik o načinu ostvarivanja prava na povlastice u prometu osobama s invaliditetom (NN 5/2024) 
</w:t>
      </w:r>
    </w:p>
    <w:p>
      <w:pPr>
        <w:jc w:val="both"/>
        <w:pStyle w:val="Normal"/>
      </w:pPr>
      <w:r>
        <w:rPr>
          <w:rFonts w:hAnsi="Times New Roman" w:cs="Times New Roman"/>
        </w:rPr>
        <w:t xml:space="preserve">Uspostava Središnjeg registra i Informacijskog sustava povlastica u prometu te početno izdavanje svih isprava je financirano putem EU NPOO projekta „Unaprjeđenje sustava korištenja prava osoba s invaliditetom“. Nakon završetka EU NPOO projekta financiranje sustava i troškova izdavanja isprava se osiguravaju sredstvima proračuna na poziciji Ministarstva mora, prometa i infrastrukture.
</w:t>
      </w:r>
    </w:p>
    <w:p>
      <w:pPr>
        <w:jc w:val="both"/>
        <w:pStyle w:val="Normal"/>
      </w:pPr>
      <w:r>
        <w:rPr>
          <w:rFonts w:hAnsi="Times New Roman" w:cs="Times New Roman"/>
        </w:rPr>
        <w:t xml:space="preserve">Temeljem Zakona o povlasticama uređuju se povlastice za učenike i studente, nedoprinosna novčana davanja za osobe s invaliditetom i druge osobe koje imaju prebivalište ili stalno boravište u RH. Temeljem Zakona uspostavljen je funkcionalni sustav povezan s registrima HZJZ-a i MUP-a i uspostavljen je jedinstveni sustav za izradu javnih isprava kojeg je nositelj javne ovlasti Agencija za komercijalnu djelatnost. Sustav je implementiran kroz NPOO i izrađene su iskaznice za korisnike. Proširenjem kriterija za stjecanje prava, došlo je do povećanja broja zahtjeva za novim iskaznicama, za što su potrebna dodatna sredstva.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izdanih iskaznica i parkirališnih karata</w:t>
            </w:r>
          </w:p>
        </w:tc>
        <w:tc>
          <w:tcPr>
            <w:tcW w:w="2245.32" w:type="dxa"/>
            <w:vAlign w:val="center"/>
          </w:tcPr>
          <w:p>
            <w:pPr>
              <w:jc w:val="both"/>
              <w:pStyle w:val="CellColumn"/>
            </w:pPr>
            <w:r>
              <w:rPr>
                <w:rFonts w:hAnsi="Times New Roman" w:cs="Times New Roman"/>
              </w:rPr>
              <w:t xml:space="preserve">Na temelju Zakona o povlasticama u prometu i Odluke ministra AKD-u se isplaćuju novčana sredstva za izdane iskaznice i parkirališne karte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AKD</w:t>
            </w:r>
          </w:p>
        </w:tc>
        <w:tc>
          <w:tcPr>
            <w:tcW w:w="918.54" w:type="dxa"/>
            <w:vAlign w:val="center"/>
          </w:tcPr>
          <w:p>
            <w:pPr>
              <w:jc w:val="both"/>
              <w:pStyle w:val="CellColumn"/>
            </w:pPr>
            <w:r>
              <w:rPr>
                <w:rFonts w:hAnsi="Times New Roman" w:cs="Times New Roman"/>
              </w:rPr>
              <w:t xml:space="preserve">15.000</w:t>
            </w:r>
          </w:p>
        </w:tc>
        <w:tc>
          <w:tcPr>
            <w:tcW w:w="918.54" w:type="dxa"/>
            <w:vAlign w:val="center"/>
          </w:tcPr>
          <w:p>
            <w:pPr>
              <w:jc w:val="both"/>
              <w:pStyle w:val="CellColumn"/>
            </w:pPr>
            <w:r>
              <w:rPr>
                <w:rFonts w:hAnsi="Times New Roman" w:cs="Times New Roman"/>
              </w:rPr>
              <w:t xml:space="preserve">15.500</w:t>
            </w:r>
          </w:p>
        </w:tc>
        <w:tc>
          <w:tcPr>
            <w:tcW w:w="918.54" w:type="dxa"/>
            <w:vAlign w:val="center"/>
          </w:tcPr>
          <w:p>
            <w:pPr>
              <w:jc w:val="both"/>
              <w:pStyle w:val="CellColumn"/>
            </w:pPr>
            <w:r>
              <w:rPr>
                <w:rFonts w:hAnsi="Times New Roman" w:cs="Times New Roman"/>
              </w:rPr>
              <w:t xml:space="preserve">16.000</w:t>
            </w:r>
          </w:p>
        </w:tc>
      </w:tr>
    </w:tbl>
    <w:p>
      <w:pPr>
        <w:jc w:val="left"/>
      </w:pPr>
      <w:r>
        <w:rPr>
          <w:rFonts w:hAnsi="Times New Roman" w:cs="Times New Roman"/>
        </w:rPr>
        <w:t xml:space="preserve"/>
      </w:r>
    </w:p>
    <w:p>
      <w:pPr>
        <w:jc w:val="left"/>
        <w:pStyle w:val="Heading4"/>
      </w:pPr>
      <w:r>
        <w:rPr>
          <w:rFonts w:hAnsi="Times New Roman" w:cs="Times New Roman"/>
        </w:rPr>
        <w:t xml:space="preserve">A820029 NAKNADA CESTARINA ZA NATO I EUFOR VOZILA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Sporazum između Republike Hrvatske i Organizacije Sjevernoatlantskog ugovora (NATO) o pravnom položaju NATO-a i njegovog osoblja od 23. studenoga 1995. godine - prilog B, Aneks 1A Općeg okvirnog sporazuma za mir u Bosni i Hercegovini (Daytonski sporazum) od 14. prosinca 1995. godine, prilog B (Appendix B to Annex 1A)  
</w:t>
      </w:r>
    </w:p>
    <w:p>
      <w:pPr>
        <w:jc w:val="both"/>
        <w:pStyle w:val="Normal5"/>
      </w:pPr>
      <w:r>
        <w:rPr>
          <w:rFonts w:hAnsi="Times New Roman" w:cs="Times New Roman"/>
        </w:rPr>
        <w:t xml:space="preserve">- Tehnički dogovor između Vlade Republike Hrvatske i NATO-a od 1. ožujka 1996. godine – u aneksu br. 9. Customs and border crossing, stranici 2. poglavlja Unacocompanied equipment, provisions, supplies točci 7.a. Military transport, (iii) nalazi se podatak, kojim je određeno da NATO i EUFOR vozila ne plaćaju cestarinu u Republici Hrvatskoj  
</w:t>
      </w:r>
    </w:p>
    <w:p>
      <w:pPr>
        <w:jc w:val="both"/>
        <w:pStyle w:val="Normal5"/>
      </w:pPr>
      <w:r>
        <w:rPr>
          <w:rFonts w:hAnsi="Times New Roman" w:cs="Times New Roman"/>
        </w:rPr>
        <w:t xml:space="preserve">- Pravilnik o načinu, postupku i dinamici ostvarivanja prava na nadoknadu iznosa godišnje naknade i cestarine, članak 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A820029-NAKNADA CESTARINA ZA NATO I EUFOR VOZILA</w:t>
            </w:r>
          </w:p>
        </w:tc>
        <w:tc>
          <w:tcPr>
            <w:tcW w:w="1632.96" w:type="dxa"/>
            <w:vAlign w:val="center"/>
          </w:tcPr>
          <w:p>
            <w:pPr>
              <w:jc w:val="both"/>
              <w:pStyle w:val="CellColumn"/>
            </w:pPr>
            <w:r>
              <w:rPr>
                <w:rFonts w:hAnsi="Times New Roman" w:cs="Times New Roman"/>
              </w:rPr>
              <w:t xml:space="preserve">85.180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100.000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Navedena aktivnost provodi se kontinuirano dok postoji zakonska obveza/osnova.   
</w:t>
      </w:r>
    </w:p>
    <w:p>
      <w:pPr>
        <w:jc w:val="both"/>
        <w:pStyle w:val="Normal"/>
      </w:pPr>
      <w:r>
        <w:rPr>
          <w:rFonts w:hAnsi="Times New Roman" w:cs="Times New Roman"/>
        </w:rPr>
        <w:t xml:space="preserve">Postupno pravilo za propuštanje vozila NATO-a i EUFOR-a te vozila, kojima upravljaju djelatnici NATO-a i EUFOR-a kroz naplatne postaje na autocestama u Republici Hrvatskoj provodi se temeljem Sporazuma između Republike Hrvatske i NATO-a, sredstva na aktivnosti planirana su uvažavajući prosječan godišnji broj prolazaka, a pritom uzimajući u obzir iznos utrošenih sredstava u prethodnom dvogodišnjom razdoblju za financiranje naknada cestarina za NATO i EUFOR vozila.  
</w:t>
      </w:r>
    </w:p>
    <w:p>
      <w:pPr>
        <w:jc w:val="both"/>
        <w:pStyle w:val="Normal"/>
      </w:pPr>
      <w:r>
        <w:rPr>
          <w:rFonts w:hAnsi="Times New Roman" w:cs="Times New Roman"/>
        </w:rPr>
        <w:t xml:space="preserve">Naknada se obračunava prema stvarno evidentiranim prolascima i nadoknađuje se Hrvatskim autocestama d.o.o., Autocesti Zagreb-Macelj d.o.o. i Bina-Istri d.d..</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prolazaka NATO i EUFOR vozila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Temeljem sporazuma isplaćuje se naknada za vozila EUFOR-a i NATO-a koji su oslobođeni od plaćanja cestarine u RH</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8.502</w:t>
            </w:r>
          </w:p>
        </w:tc>
        <w:tc>
          <w:tcPr>
            <w:tcW w:w="918.54" w:type="dxa"/>
            <w:vAlign w:val="center"/>
          </w:tcPr>
          <w:p>
            <w:pPr>
              <w:jc w:val="both"/>
              <w:pStyle w:val="CellColumn"/>
            </w:pPr>
            <w:r>
              <w:rPr>
                <w:rFonts w:hAnsi="Times New Roman" w:cs="Times New Roman"/>
              </w:rPr>
              <w:t xml:space="preserve">Upravitelj autocesta    
</w:t>
            </w:r>
          </w:p>
          <w:p>
            <w:pPr>
              <w:jc w:val="both"/>
              <w:pStyle w:val="CellColumn"/>
            </w:pPr>
            <w:r>
              <w:rPr>
                <w:rFonts w:hAnsi="Times New Roman" w:cs="Times New Roman"/>
              </w:rPr>
              <w:t xml:space="preserve">(HAC, AZM, Bina-Istra)</w:t>
            </w:r>
          </w:p>
        </w:tc>
        <w:tc>
          <w:tcPr>
            <w:tcW w:w="918.54" w:type="dxa"/>
            <w:vAlign w:val="center"/>
          </w:tcPr>
          <w:p>
            <w:pPr>
              <w:jc w:val="both"/>
              <w:pStyle w:val="CellColumn"/>
            </w:pPr>
            <w:r>
              <w:rPr>
                <w:rFonts w:hAnsi="Times New Roman" w:cs="Times New Roman"/>
              </w:rPr>
              <w:t xml:space="preserve">8750</w:t>
            </w:r>
          </w:p>
        </w:tc>
        <w:tc>
          <w:tcPr>
            <w:tcW w:w="918.54" w:type="dxa"/>
            <w:vAlign w:val="center"/>
          </w:tcPr>
          <w:p>
            <w:pPr>
              <w:jc w:val="both"/>
              <w:pStyle w:val="CellColumn"/>
            </w:pPr>
            <w:r>
              <w:rPr>
                <w:rFonts w:hAnsi="Times New Roman" w:cs="Times New Roman"/>
              </w:rPr>
              <w:t xml:space="preserve">9.000</w:t>
            </w:r>
          </w:p>
        </w:tc>
        <w:tc>
          <w:tcPr>
            <w:tcW w:w="918.54" w:type="dxa"/>
            <w:vAlign w:val="center"/>
          </w:tcPr>
          <w:p>
            <w:pPr>
              <w:jc w:val="both"/>
              <w:pStyle w:val="CellColumn"/>
            </w:pPr>
            <w:r>
              <w:rPr>
                <w:rFonts w:hAnsi="Times New Roman" w:cs="Times New Roman"/>
              </w:rPr>
              <w:t xml:space="preserve">9.250</w:t>
            </w:r>
          </w:p>
        </w:tc>
      </w:tr>
    </w:tbl>
    <w:p>
      <w:pPr>
        <w:jc w:val="left"/>
      </w:pPr>
      <w:r>
        <w:rPr>
          <w:rFonts w:hAnsi="Times New Roman" w:cs="Times New Roman"/>
        </w:rPr>
        <w:t xml:space="preserve"/>
      </w:r>
    </w:p>
    <w:p>
      <w:pPr>
        <w:jc w:val="left"/>
        <w:pStyle w:val="Heading4"/>
      </w:pPr>
      <w:r>
        <w:rPr>
          <w:rFonts w:hAnsi="Times New Roman" w:cs="Times New Roman"/>
        </w:rPr>
        <w:t xml:space="preserve">A821086 PROGRAM PREKOGRANIČNE SURADNJE UPRAVLJAČKO TIJELO IZ INOZEMSTVA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Pomorski zakonik, članak 55.f i članak 55.h 
</w:t>
      </w:r>
    </w:p>
    <w:p>
      <w:pPr>
        <w:jc w:val="both"/>
        <w:pStyle w:val="Normal5"/>
      </w:pPr>
      <w:r>
        <w:rPr>
          <w:rFonts w:hAnsi="Times New Roman" w:cs="Times New Roman"/>
        </w:rPr>
        <w:t xml:space="preserve">- Plan intervencija kod iznenadnih onečišćenja mora, točke 36. i 102.
</w:t>
      </w:r>
    </w:p>
    <w:p>
      <w:pPr>
        <w:jc w:val="both"/>
        <w:pStyle w:val="Normal5"/>
      </w:pPr>
      <w:r>
        <w:rPr>
          <w:rFonts w:hAnsi="Times New Roman" w:cs="Times New Roman"/>
        </w:rPr>
        <w:t xml:space="preserve">
</w:t>
      </w:r>
    </w:p>
    <w:p>
      <w:pPr>
        <w:jc w:val="both"/>
        <w:pStyle w:val="Normal5"/>
      </w:pPr>
      <w:r>
        <w:rPr>
          <w:rFonts w:hAnsi="Times New Roman" w:cs="Times New Roman"/>
        </w:rPr>
        <w:t xml:space="preserve">- Zakon o cestama   
</w:t>
      </w:r>
    </w:p>
    <w:p>
      <w:pPr>
        <w:jc w:val="both"/>
        <w:pStyle w:val="Normal5"/>
      </w:pPr>
      <w:r>
        <w:rPr>
          <w:rFonts w:hAnsi="Times New Roman" w:cs="Times New Roman"/>
        </w:rPr>
        <w:t xml:space="preserve">- Direktiva 2010/40/EU Europskog parlamenta i Vijeća od 7. srpnja 2010. godine o okviru za uvođenje inteligentnih prometnih sustava u cestovnom prometu i za veze s ostalim vrstama prijevoza  
</w:t>
      </w:r>
    </w:p>
    <w:p>
      <w:pPr>
        <w:jc w:val="both"/>
        <w:pStyle w:val="Normal5"/>
      </w:pPr>
      <w:r>
        <w:rPr>
          <w:rFonts w:hAnsi="Times New Roman" w:cs="Times New Roman"/>
        </w:rPr>
        <w:t xml:space="preserve">- Delegirana uredba Komisije (EU) 2017/1926 od 31. svibnja 2017. godine o dopuni Direktive 2010/40/EU Europskog parlamenta i Vijeća u pogledu pružanja informacija o multimodalnim putovanjima na razini EU-a (SL L 272, 21.10.2017.)</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A821086-PROGRAM PREKOGRANIČNE SURADNJE UPRAVLJAČKO TIJELO IZ INOZEMSTVA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103.474</w:t>
            </w:r>
          </w:p>
        </w:tc>
        <w:tc>
          <w:tcPr>
            <w:tcW w:w="1632.96" w:type="dxa"/>
            <w:vAlign w:val="center"/>
          </w:tcPr>
          <w:p>
            <w:pPr>
              <w:jc w:val="both"/>
              <w:pStyle w:val="CellColumn"/>
            </w:pPr>
            <w:r>
              <w:rPr>
                <w:rFonts w:hAnsi="Times New Roman" w:cs="Times New Roman"/>
              </w:rPr>
              <w:t xml:space="preserve">18.720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kao projektni partner, u suradnji Srednjoeuropskom inicijativom - Izvršnim tajništvom (IT) kao vodećim projektnim partnerom, te Nacionalnim institutom za oceanografiju i primijenjenu geofiziku – OGS (IT), Sveučilištem u Ljubljani (SI), Jadranskim edukativno-istraživačkim centrom za reagiranja na iznenadna onečišćenja mora – ATRAC (HR), Ministarstvom infrastrukture Republike Slovenije – Slovenska pomorska administracija (SI), Fakultetom za promet i komunikacije Sveučilišta u Sarajevu (BA), Ministarstvom infrastrukture i energetike (AL), Udrugom „Naša akcija“ (ME), te pridruženim projektnim partnerima: Občina Izola (SI), Drejtoria e Pëgjithshme Detare (AL), Uprava za zaščito in reševanje – UL FPP (SI), Istituto Superiore per la Protezione e la Ricerca Ambientale – ISPRA (IT), Agencija za okolje (SI), Regional Marine Pollution Emergency Response Centre for the Mediterranean Sea (REMPEC) te Upravom pomorske sigurnosti i upravljanja lukama (ME), sudjelovalo je u pripremi projekta „Adriatic Sensitive Areas Protection – mechanism – ASAP“, koji je uspješno prijavljen na poziv Interreg IPA ADRION programa, te odabran za EU sufinanciranje. 
</w:t>
      </w:r>
    </w:p>
    <w:p>
      <w:pPr>
        <w:jc w:val="both"/>
        <w:pStyle w:val="Normal"/>
      </w:pPr>
      <w:r>
        <w:rPr>
          <w:rFonts w:hAnsi="Times New Roman" w:cs="Times New Roman"/>
        </w:rPr>
        <w:t xml:space="preserve">Projekt je započeo 1. rujna 2024. godine, a trajat će ukupno 30 mjeseci, odnosno do 28. veljače 2027. godine. Ukupni proračun projekta iznosi 1.413.387,70 € (od čega EU sufinanciranje 85%; nacionalno sufinanciranje 15%). Ukupni proračun Ministarstva mora, prometa i infrastrukture kao projektnog partnera za provedbu ovog projekta iznosi 221.438,60 €, od kojeg se iznosa 188.222,81 € odnosi na EU sufinanciranje, dok se na nacionalno sufinanciranje odnosi 33.215,79 €.
</w:t>
      </w:r>
    </w:p>
    <w:p>
      <w:pPr>
        <w:jc w:val="both"/>
        <w:pStyle w:val="Normal"/>
      </w:pPr>
      <w:r>
        <w:rPr>
          <w:rFonts w:hAnsi="Times New Roman" w:cs="Times New Roman"/>
        </w:rPr>
        <w:t xml:space="preserve">Projekt ASAP ima za cilj pružiti jadranskim zemljama koordinacijsku platformu za uspostavu mehanizma provedbe prekograničnog odgovora u slučaju iznenadnih onečišćenja mora, a radi zaštite morskog okoliša, osjetljivih područja, zdravlja građana te zaštite gospodarskih djelatnosti koje su od vitalnog značaja za dobrobit u Jadranskom moru.  
</w:t>
      </w:r>
    </w:p>
    <w:p>
      <w:pPr>
        <w:jc w:val="both"/>
        <w:pStyle w:val="Normal"/>
      </w:pPr>
      <w:r>
        <w:rPr>
          <w:rFonts w:hAnsi="Times New Roman" w:cs="Times New Roman"/>
        </w:rPr>
        <w:t xml:space="preserve">U okviru projektnih aktivnosti u 2025. godini ovo Ministarstvo kao voditelj radnog paketa WP2 koordiniralo je izradu nacrta  Standardnih operativnih procedura (SOP) koji su namijenjeni za provedbu žurnih intervencija na moru, te je provelo međunarodnu pomorsku vježbu MMO ADRIA 2025, POLex/COMex 2025 vežbu u kojoj su sudjelovale pomorske službe Hrvatske, Italije i Slovenije, europske agencije EMSA-e, EFCA-e i Frontex, kao i projektni partneri ASAP projekta u kojoj su testirani nacrti SOP-ova, a istu su pratili međunarodni i domaći promatrači te brojni gosti.
</w:t>
      </w:r>
    </w:p>
    <w:p>
      <w:pPr>
        <w:jc w:val="both"/>
        <w:pStyle w:val="Normal"/>
      </w:pPr>
      <w:r>
        <w:rPr>
          <w:rFonts w:hAnsi="Times New Roman" w:cs="Times New Roman"/>
        </w:rPr>
        <w:t xml:space="preserve">Financijska sredstva planirana u 2026. i 2027. godini utrošiti će se za nastavak projetnih aktivnosti: dovršetak izrade SOP-ova, sudjelovanje članova projektnog tima u vježbi suzbijanja onečišćenja mora koja će biti organizirana u Sloveniji, za sudjelovanje na sastancima konzorcija, organizaciju sastanka u Briselu, te za provedu ostalih projektne obveza sukladno projektnom planu.
</w:t>
      </w:r>
    </w:p>
    <w:p>
      <w:pPr>
        <w:jc w:val="both"/>
        <w:pStyle w:val="Normal"/>
      </w:pPr>
      <w:r>
        <w:rPr>
          <w:rFonts w:hAnsi="Times New Roman" w:cs="Times New Roman"/>
        </w:rPr>
        <w:t xml:space="preserve">
</w:t>
      </w:r>
    </w:p>
    <w:p>
      <w:pPr>
        <w:jc w:val="both"/>
        <w:pStyle w:val="Normal"/>
      </w:pPr>
      <w:r>
        <w:rPr>
          <w:rFonts w:hAnsi="Times New Roman" w:cs="Times New Roman"/>
        </w:rPr>
        <w:t xml:space="preserve">Ministarstvo mora, prometa i infrastrukture na DRP (Danube Region Programme) poziv sudjeluje u podnošenju prijave za projekt „DRP0200217 – Active2Public Transport“. 
</w:t>
      </w:r>
    </w:p>
    <w:p>
      <w:pPr>
        <w:jc w:val="both"/>
        <w:pStyle w:val="Normal"/>
      </w:pPr>
      <w:r>
        <w:rPr>
          <w:rFonts w:hAnsi="Times New Roman" w:cs="Times New Roman"/>
        </w:rPr>
        <w:t xml:space="preserve">U projektu je do sada sudjelovanje potvrdilo sljedećih 9 država: Austrija, Slovačka, Srbija, Njemačka, Mađarska, Češka, Slovenija, Rumunjska i Hrvatska, odnosno ukupno 11 partnera, a vodeći je partner Austrijska energetska agencija. 
</w:t>
      </w:r>
    </w:p>
    <w:p>
      <w:pPr>
        <w:jc w:val="both"/>
        <w:pStyle w:val="Normal"/>
      </w:pPr>
      <w:r>
        <w:rPr>
          <w:rFonts w:hAnsi="Times New Roman" w:cs="Times New Roman"/>
        </w:rPr>
        <w:t xml:space="preserve">Očekivano trajanje projekta je 30 mjeseci, a ukupna procijenjena vrijednost projekta iznosi oko 2.800.000,00 EUR. 
</w:t>
      </w:r>
    </w:p>
    <w:p>
      <w:pPr>
        <w:jc w:val="both"/>
        <w:pStyle w:val="Normal"/>
      </w:pPr>
      <w:r>
        <w:rPr>
          <w:rFonts w:hAnsi="Times New Roman" w:cs="Times New Roman"/>
        </w:rPr>
        <w:t xml:space="preserve">Cilj projekta je doprinos „ozelenjivanju“ energetskog i prometnog sektora u dunavskoj regiji jačanjem integracije obnovljivih izvora energije, a predstavlja nastavak uspješno provedenog DTP projekta Danube Cycle Plans. 
</w:t>
      </w:r>
    </w:p>
    <w:p>
      <w:pPr>
        <w:jc w:val="both"/>
        <w:pStyle w:val="Normal"/>
      </w:pPr>
      <w:r>
        <w:rPr>
          <w:rFonts w:hAnsi="Times New Roman" w:cs="Times New Roman"/>
        </w:rPr>
        <w:t xml:space="preserve">Da bi se postiglo smanjenje prometnih emisija za 90%, kako je predviđeno Europskim zelenim planom, nužno je otići dalje od poboljšanja učinkovitosti vozila te prelaska na električna vozila. Mjere u putničkom prijevozu moraju biti više usmjerene na podršku multimodalnom prelasku na aktivni javni prijevoz. Bicikliranje i pješačenje najučinkovitiji su i jedini načini putovanja koji su u potpunosti bez ugljika, posebno na kratkim udaljenostima. Boljim povezivanjem aktivnog javnog prijevoza omogućit će se atraktivne alternative putovanjima automobilom na srednjim i većim udaljenostima. Rješenja razvijena i testirana u sklopu projekta pomoći će da se nadvladaju postojeće praznine u multimodalnom prometnom sustavu i uključivat će sve oblike aktivnog putovanja do bilo koje stanice javnog prijevoza. To uključuje parkirališta, rješenja za prijevoz bicikala tijekom vožnje autobusom ili vlakom te odlaske sa stanica javnog prijevoza, primjerice korištenjem bike sharing sustava. Akcijski plan projekta, podržan nacionalnim i regionalnim akcijskim planovima, pružit će strateški okvir za sustavno poboljšanje povezanosti aktivnog javnog prijevoza u prometnim čvorištima te prema suvremenim središtima mobilnosti. Online alatni okvir koji će izraditi projektni partneri pružit će smjernice za provedbu inovativnih rješenja za prevladavanje postojećih nedostataka u multimodalnom sustavu aktivnog javnog prijevoza. Ovaj alatni okvir pokazat će kako unaprijediti postojeća suvremena rješenja obogaćena iskustvima iz pilot akcija, koje će partneri provoditi u različitim dijelovima dunavske regije. Zajednička provedba projekta u transnacionalnom okruženju nadahnut će stručnjake svih uključenih organizacija (lokalna/regionalna/nacionalna javna tijela, nevladine organizacije, pružatelje usluga/infrastrukture) da nadvladaju svoj tradicionalno uski, „monomodalni“, i često automobilski orijentirani, fokus u korist većeg broja boljih usluga aktivnog javnog prijevoza i infrastrukture izvan ograničenog geografskog područja provedbe pilot akcija. 
</w:t>
      </w:r>
    </w:p>
    <w:p>
      <w:pPr>
        <w:jc w:val="both"/>
        <w:pStyle w:val="Normal"/>
      </w:pPr>
      <w:r>
        <w:rPr>
          <w:rFonts w:hAnsi="Times New Roman" w:cs="Times New Roman"/>
        </w:rPr>
        <w:t xml:space="preserve">Ugovor o partnerstvu mora biti potpisan najkasnije do 2. lipnja 2023. godine do kada se vodećem partneru – Austrijskoj energetskoj agenciji – moraju dostaviti skenirani originali, nakon čega isti odmah moraju biti poslani i poštom, a radi pravodobnog zaprimanja i potpisivanja od strane njihovog pravnog zastupnika. 
</w:t>
      </w:r>
    </w:p>
    <w:p>
      <w:pPr>
        <w:jc w:val="both"/>
        <w:pStyle w:val="Normal"/>
      </w:pPr>
      <w:r>
        <w:rPr>
          <w:rFonts w:hAnsi="Times New Roman" w:cs="Times New Roman"/>
        </w:rPr>
        <w:t xml:space="preserve">Potpisni listovi (za MMPI stranica 25.) moraju biti originalno potpisani i ovjereni pečatom 13 puta – po jedan izvornik za svakog partnera (11), jedan za Ured programa DRP te jedna sigurnosna kopija.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Podizanje razine sustava reagiranja na iznenadna onečišćenja mora s pomorskih objekata u sjevernom Jadranu</w:t>
            </w:r>
          </w:p>
        </w:tc>
        <w:tc>
          <w:tcPr>
            <w:tcW w:w="2245.32" w:type="dxa"/>
            <w:vAlign w:val="center"/>
          </w:tcPr>
          <w:p>
            <w:pPr>
              <w:jc w:val="both"/>
              <w:pStyle w:val="CellColumn"/>
            </w:pPr>
            <w:r>
              <w:rPr>
                <w:rFonts w:hAnsi="Times New Roman" w:cs="Times New Roman"/>
              </w:rPr>
              <w:t xml:space="preserve">Primjereni odgovor na iznenadna onečišćenja odnosno učinkovito reagiranje po Planu intervencija kod iznenadnih onečišćenja mora i Subregionalnom planu intervencija za sprječavanje, spremnost za i reagiranje na iznenadna onečišćenja Jadranskog mora većih razmjera s pomorskih objekata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40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80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left"/>
            </w:pPr>
            <w:r>
              <w:rPr>
                <w:rFonts w:hAnsi="Times New Roman" w:cs="Times New Roman"/>
              </w:rPr>
              <w:t xml:space="preserve"/>
            </w:r>
          </w:p>
        </w:tc>
      </w:tr>
      <w:tr>
        <w:trPr>
          <w:cantSplit/>
        </w:trPr>
        <w:tc>
          <w:tcPr>
            <w:tcW w:w="2245.32" w:type="dxa"/>
            <w:vAlign w:val="center"/>
          </w:tcPr>
          <w:p>
            <w:pPr>
              <w:jc w:val="both"/>
              <w:pStyle w:val="CellColumn"/>
            </w:pPr>
            <w:r>
              <w:rPr>
                <w:rFonts w:hAnsi="Times New Roman" w:cs="Times New Roman"/>
              </w:rPr>
              <w:t xml:space="preserve">Broj izvršenih aktivnosti projekta</w:t>
            </w:r>
          </w:p>
        </w:tc>
        <w:tc>
          <w:tcPr>
            <w:tcW w:w="2245.32" w:type="dxa"/>
            <w:vAlign w:val="center"/>
          </w:tcPr>
          <w:p>
            <w:pPr>
              <w:jc w:val="both"/>
              <w:pStyle w:val="CellColumn"/>
            </w:pPr>
            <w:r>
              <w:rPr>
                <w:rFonts w:hAnsi="Times New Roman" w:cs="Times New Roman"/>
              </w:rPr>
              <w:t xml:space="preserve">Izvršenjem 3 planirane aktivnosti omogućit će se unaprjeđenje kombiniranja aktivne mobilnosti i javnog prijevoza (putovanje biciklom i vlakom)</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K570344 PROVEDBA UGOVORA O KONCESIJI - AUTOCESTA ZAGREB-MACELJ</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Ugovor o koncesiji između Republike Hrvatske i Autoceste Zagreb-Macelj d.o.o., za financiranje, građenje i upravljanje autocestom Zagreb-Macelj, od 11. srpnja 2003. godine, izmjene Ugovora o koncesiji između Republike Hrvatske i Autoceste Zagreb-Macelj d.o.o. od 27. studenoga 2003. godine, 20. srpnja 2004. godine, 30. lipnja 2008. godine, 23. svibnja 2011. godine (u daljnjem tekstu: Ugovor o koncesiji)  
</w:t>
      </w:r>
    </w:p>
    <w:p>
      <w:pPr>
        <w:jc w:val="both"/>
        <w:pStyle w:val="Normal5"/>
      </w:pPr>
      <w:r>
        <w:rPr>
          <w:rFonts w:hAnsi="Times New Roman" w:cs="Times New Roman"/>
        </w:rPr>
        <w:t xml:space="preserve">- Sporazum o cestarini od 3. veljače 2006. godine, sklopljen između Republike Hrvatske i Autoceste Zagreb-Macelj d.o.o. 2011. godine, Aneks br. 1 Sporazuma o cestarini, sklopljen 29. rujna 2006. godine (u daljnjem tekstu: Sporazum o cestarini) 
</w:t>
      </w:r>
    </w:p>
    <w:p>
      <w:pPr>
        <w:jc w:val="both"/>
        <w:pStyle w:val="Normal5"/>
      </w:pPr>
      <w:r>
        <w:rPr>
          <w:rFonts w:hAnsi="Times New Roman" w:cs="Times New Roman"/>
        </w:rPr>
        <w:t xml:space="preserve">- Ugovor o doprinosu za pad prometa u odnosu na projektiranje, građenje, financiranje i upravljanje naplatnom autocestom Zagreb-Macelj u Hrvatskoj (TSCA) od 2. rujna 2003. godine, prva izmjena od 20. srpnja 2004. godine, druga izmjena od 18. rujna 2006. godine i treća izmjena 30. lipnja 2008. godine (u daljnjem tekstu: Ugovor o doprinosu za pad prometa) 
</w:t>
      </w:r>
    </w:p>
    <w:p>
      <w:pPr>
        <w:jc w:val="both"/>
        <w:pStyle w:val="Normal5"/>
      </w:pPr>
      <w:r>
        <w:rPr>
          <w:rFonts w:hAnsi="Times New Roman" w:cs="Times New Roman"/>
        </w:rPr>
        <w:t xml:space="preserve">- Sporazum o uređenju međusobnih odnosa u vezi održavanja dijela cestovnih objekata na autocesti A2 Zagreb-Macelj od 7. svibnja 2018. godine, člancima 41.2 i 41.8 stavkom (e) Ugovora te člankom 29. Zakona o cestama (u daljnjem tekstu: Sporazum o održavanju)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K570344-PROVEDBA UGOVORA O KONCESIJI - AUTOCESTA ZAGREB-MACELJ</w:t>
            </w:r>
          </w:p>
        </w:tc>
        <w:tc>
          <w:tcPr>
            <w:tcW w:w="1632.96" w:type="dxa"/>
            <w:vAlign w:val="center"/>
          </w:tcPr>
          <w:p>
            <w:pPr>
              <w:jc w:val="both"/>
              <w:pStyle w:val="CellColumn"/>
            </w:pPr>
            <w:r>
              <w:rPr>
                <w:rFonts w:hAnsi="Times New Roman" w:cs="Times New Roman"/>
              </w:rPr>
              <w:t xml:space="preserve">19.543.225</w:t>
            </w:r>
          </w:p>
        </w:tc>
        <w:tc>
          <w:tcPr>
            <w:tcW w:w="1632.96" w:type="dxa"/>
            <w:vAlign w:val="center"/>
          </w:tcPr>
          <w:p>
            <w:pPr>
              <w:jc w:val="both"/>
              <w:pStyle w:val="CellColumn"/>
            </w:pPr>
            <w:r>
              <w:rPr>
                <w:rFonts w:hAnsi="Times New Roman" w:cs="Times New Roman"/>
              </w:rPr>
              <w:t xml:space="preserve">17.281.000</w:t>
            </w:r>
          </w:p>
        </w:tc>
        <w:tc>
          <w:tcPr>
            <w:tcW w:w="1632.96" w:type="dxa"/>
            <w:vAlign w:val="center"/>
          </w:tcPr>
          <w:p>
            <w:pPr>
              <w:jc w:val="both"/>
              <w:pStyle w:val="CellColumn"/>
            </w:pPr>
            <w:r>
              <w:rPr>
                <w:rFonts w:hAnsi="Times New Roman" w:cs="Times New Roman"/>
              </w:rPr>
              <w:t xml:space="preserve">19.100.000</w:t>
            </w:r>
          </w:p>
        </w:tc>
        <w:tc>
          <w:tcPr>
            <w:tcW w:w="1632.96" w:type="dxa"/>
            <w:vAlign w:val="center"/>
          </w:tcPr>
          <w:p>
            <w:pPr>
              <w:jc w:val="both"/>
              <w:pStyle w:val="CellColumn"/>
            </w:pPr>
            <w:r>
              <w:rPr>
                <w:rFonts w:hAnsi="Times New Roman" w:cs="Times New Roman"/>
              </w:rPr>
              <w:t xml:space="preserve">19.900.000</w:t>
            </w:r>
          </w:p>
        </w:tc>
        <w:tc>
          <w:tcPr>
            <w:tcW w:w="1632.96" w:type="dxa"/>
            <w:vAlign w:val="center"/>
          </w:tcPr>
          <w:p>
            <w:pPr>
              <w:jc w:val="both"/>
              <w:pStyle w:val="CellColumn"/>
            </w:pPr>
            <w:r>
              <w:rPr>
                <w:rFonts w:hAnsi="Times New Roman" w:cs="Times New Roman"/>
              </w:rPr>
              <w:t xml:space="preserve">18.200.000</w:t>
            </w:r>
          </w:p>
        </w:tc>
        <w:tc>
          <w:tcPr>
            <w:tcW w:w="510.3" w:type="dxa"/>
            <w:vAlign w:val="center"/>
          </w:tcPr>
          <w:p>
            <w:pPr>
              <w:jc w:val="both"/>
              <w:pStyle w:val="CellColumn"/>
            </w:pPr>
            <w:r>
              <w:rPr>
                <w:rFonts w:hAnsi="Times New Roman" w:cs="Times New Roman"/>
              </w:rPr>
              <w:t xml:space="preserve">110,5</w:t>
            </w:r>
          </w:p>
        </w:tc>
      </w:tr>
    </w:tbl>
    <w:p>
      <w:pPr>
        <w:jc w:val="left"/>
      </w:pPr>
      <w:r>
        <w:rPr>
          <w:rFonts w:hAnsi="Times New Roman" w:cs="Times New Roman"/>
        </w:rPr>
        <w:t xml:space="preserve"/>
      </w:r>
    </w:p>
    <w:p>
      <w:pPr>
        <w:jc w:val="both"/>
        <w:pStyle w:val="Normal"/>
      </w:pPr>
      <w:r>
        <w:rPr>
          <w:rFonts w:hAnsi="Times New Roman" w:cs="Times New Roman"/>
        </w:rPr>
        <w:t xml:space="preserve">Navedena aktivnost provodi se kontinuirano do isteka Ugovora o koncesiji odnosno do 2032. godine.    
</w:t>
      </w:r>
    </w:p>
    <w:p>
      <w:pPr>
        <w:jc w:val="both"/>
        <w:pStyle w:val="Normal"/>
      </w:pPr>
      <w:r>
        <w:rPr>
          <w:rFonts w:hAnsi="Times New Roman" w:cs="Times New Roman"/>
        </w:rPr>
        <w:t xml:space="preserve">Koncesionaru, društvu Autocesta Zagreb-Macelj d.o.o. isplaćuju se sredstva iz Državnog proračuna temeljem subvencija, kapitalnih pomoći i danih zajmova.    
</w:t>
      </w:r>
    </w:p>
    <w:p>
      <w:pPr>
        <w:jc w:val="both"/>
        <w:pStyle w:val="Normal"/>
      </w:pPr>
      <w:r>
        <w:rPr>
          <w:rFonts w:hAnsi="Times New Roman" w:cs="Times New Roman"/>
        </w:rPr>
        <w:t xml:space="preserve">Sa subvencija se koncesionaru isplaćuje posebni doprinos sukladno čl. 30.8 Ugovora o koncesiji, koji predstavlja specijalni doprinos u visini plaćenog PDV-a na ukupan iznos cestarine vozila koja prometuju koncesijskim područjem pod upravljanjem društva Autocesta Zagreb-Macelj d.o.o.. Koncesionaru se također isplaćuje naknada za cestarinu sukladno gore navedenom Sporazumu o cestarini u visini 56% cestarine za vozila koja prometuju na dionici Mokrice – Krapina. Naime, Republika Hrvatska koncesionaru za svako vozilo koje prometuje na dionici Mokrice-Krapina isplaćuje 56% iznosa cestarine za koje je to vozilo platilo umanjenu cestarinu za navedeni postotak.  
</w:t>
      </w:r>
    </w:p>
    <w:p>
      <w:pPr>
        <w:jc w:val="both"/>
        <w:pStyle w:val="Normal"/>
      </w:pPr>
      <w:r>
        <w:rPr>
          <w:rFonts w:hAnsi="Times New Roman" w:cs="Times New Roman"/>
        </w:rPr>
        <w:t xml:space="preserve">Na navedenoj stavci, na računu subvencije planirani su slijedeći iznosi po godinama:   
</w:t>
      </w:r>
    </w:p>
    <w:p>
      <w:pPr>
        <w:jc w:val="both"/>
        <w:pStyle w:val="Normal"/>
      </w:pPr>
      <w:r>
        <w:rPr>
          <w:rFonts w:hAnsi="Times New Roman" w:cs="Times New Roman"/>
        </w:rPr>
        <w:t xml:space="preserve">- 2026. godina iznos od 13.700.000 eura; od čega obveze po Ugovoru o koncesiji: 12.300.000 eura, Sporazum o cestarini: 1.400.000 eura   
</w:t>
      </w:r>
    </w:p>
    <w:p>
      <w:pPr>
        <w:jc w:val="both"/>
        <w:pStyle w:val="Normal"/>
      </w:pPr>
      <w:r>
        <w:rPr>
          <w:rFonts w:hAnsi="Times New Roman" w:cs="Times New Roman"/>
        </w:rPr>
        <w:t xml:space="preserve">- 2027. godina iznos od 14.400.000 eura; od čega obveze po Ugovoru o koncesiji: 12.800.000 eura, Sporazum o cestarini: 1.600.000 eura 
</w:t>
      </w:r>
    </w:p>
    <w:p>
      <w:pPr>
        <w:jc w:val="both"/>
        <w:pStyle w:val="Normal"/>
      </w:pPr>
      <w:r>
        <w:rPr>
          <w:rFonts w:hAnsi="Times New Roman" w:cs="Times New Roman"/>
        </w:rPr>
        <w:t xml:space="preserve">  - 2028. godina iznos od 15.100.000 eura; od čega obveze po Ugovoru o koncesiji: 13.400.000 eura, Sporazum o cestarini: 1.700.000 eura   
</w:t>
      </w:r>
    </w:p>
    <w:p>
      <w:pPr>
        <w:jc w:val="both"/>
        <w:pStyle w:val="Normal"/>
      </w:pPr>
      <w:r>
        <w:rPr>
          <w:rFonts w:hAnsi="Times New Roman" w:cs="Times New Roman"/>
        </w:rPr>
        <w:t xml:space="preserve">S računa zajma Državnog proračuna koncesionaru se nadoknađuje razlika prognoziranih prihoda i rashoda odnosno, stvarno ostvarenih prihoda i rashoda, sukladno Ugovoru o doprinosu za pad prometa (TSCA), koji je obveza Republike Hrvatske, kao davatelja koncesije. Temeljem navedenoga koncesionaru se isplaćuju  sredstva koja predstavljaju kredit, a koncesijsko društvo, Autocesta Zagreb-Macelj d.o.o. ga se obvezuje vratiti u Državni proračun, sa kamatom od 6 % obračunatom do trenutka vraćanja, kada se za to stvore ugovorni uvjeti. Naime, uz autocestu Zagreb-Macelj nalazi se državna cesta DC1 (G.P. Macelj (gr. R. Slovenije) – Krapina – Zagreb – Karlovac – Gračac – Knin – Brnaze – Split (D8)), koja je ujedno i prihvatljiv alternativni prometni pravac za vozila koja prometuju navedenom dionicom. Nadalje, promet navedenom dionicom neposredno utječe na smanjenje broja prolazaka vozila koncesijskim područjem pod upravljanjem društva Autocesta Zagreb-Macelj d.o.o.. Manji broj vozila direktno dovodi do smanjenja iznosa koji je Republika Hrvatska, temeljem ugovorne dokumentacije, dužna isplatiti za iznose PDV-a cestarine za vozila koja prometuju koncesijskim područjem i 56% iznosa cestarine koji korisnici autoceste plaćaju prolaskom dionice Mokrice-Krapina. Istovremeno, smanjenjem prometa, a posljedično i prihoda na koncesijskom području pod upravljanjem društva Autocesta Zagreb-Macelj d.o.o. Republika Hrvatska temeljem Ugovora o doprinosu za pad prometa (TSCA)  isplaćuje veći iznos TSCA za razliku od prognoziranih odnosno ostvarenih rashoda/prihoda uzrokovanih padom prometa na koncesijskom području, a sve sukladno ugovornoj dokumentaciji.   
</w:t>
      </w:r>
    </w:p>
    <w:p>
      <w:pPr>
        <w:jc w:val="both"/>
        <w:pStyle w:val="Normal"/>
      </w:pPr>
      <w:r>
        <w:rPr>
          <w:rFonts w:hAnsi="Times New Roman" w:cs="Times New Roman"/>
        </w:rPr>
        <w:t xml:space="preserve">Na navedenoj stavci na računu dani zajmovi planirani su slijedeći iznosi za TSCA po godinama:   
</w:t>
      </w:r>
    </w:p>
    <w:p>
      <w:pPr>
        <w:jc w:val="both"/>
        <w:pStyle w:val="Normal"/>
      </w:pPr>
      <w:r>
        <w:rPr>
          <w:rFonts w:hAnsi="Times New Roman" w:cs="Times New Roman"/>
        </w:rPr>
        <w:t xml:space="preserve">- 2026. godina iznos od 2.000.000 eura   
</w:t>
      </w:r>
    </w:p>
    <w:p>
      <w:pPr>
        <w:jc w:val="both"/>
        <w:pStyle w:val="Normal"/>
      </w:pPr>
      <w:r>
        <w:rPr>
          <w:rFonts w:hAnsi="Times New Roman" w:cs="Times New Roman"/>
        </w:rPr>
        <w:t xml:space="preserve">- 2027. godina iznos od 2.000.000 eura   
</w:t>
      </w:r>
    </w:p>
    <w:p>
      <w:pPr>
        <w:jc w:val="both"/>
        <w:pStyle w:val="Normal"/>
      </w:pPr>
      <w:r>
        <w:rPr>
          <w:rFonts w:hAnsi="Times New Roman" w:cs="Times New Roman"/>
        </w:rPr>
        <w:t xml:space="preserve">- 2028. godina iznos od 2.000.000 eura  
</w:t>
      </w:r>
    </w:p>
    <w:p>
      <w:pPr>
        <w:jc w:val="both"/>
        <w:pStyle w:val="Normal"/>
      </w:pPr>
      <w:r>
        <w:rPr>
          <w:rFonts w:hAnsi="Times New Roman" w:cs="Times New Roman"/>
        </w:rPr>
        <w:t xml:space="preserve">Na računu kapitalne pomoći, sukladno obvezama koje proizlaze iz Ugovora o koncesiji, planirana su sredstva koja su namijenjena za financiranje kapitalnih ulaganja i to kako slijedi po godinama:    
</w:t>
      </w:r>
    </w:p>
    <w:p>
      <w:pPr>
        <w:jc w:val="both"/>
        <w:pStyle w:val="Normal"/>
      </w:pPr>
      <w:r>
        <w:rPr>
          <w:rFonts w:hAnsi="Times New Roman" w:cs="Times New Roman"/>
        </w:rPr>
        <w:t xml:space="preserve">U 2026. godini iznos od 3.400.000 eura za slijedeća kapitalna ulaganja: za provedbu privremenih mjera usklađenja tunela sukladno Pravilniku o minimalnim sigurnosnim zahtjevima za tunele s EU direktivom 54/2004 (primjena dodatne mjere do izgradnje zapadnih tunelskih cijevi tunela Sv. Tri Kralja i Brezovica, dodatna mjera sastoji se od najma vatrogasne postrojbe s jednim navalnim vatrogasnim vozilom s najmanje dva vatrogasca i autocisternom s jednim vatrogascem kapaciteta od 5.000 litara ispred južnog portala tunela Sv. Tri Kralja tijekom cijele godine, od 01.01. do 31.12.), izgradnja fotonaponskog sustava (fotonaponske elektrane) u cilju korištenja obnovljivih izvora energije i uspostave energetske samo-održivosti autoceste. 
</w:t>
      </w:r>
    </w:p>
    <w:p>
      <w:pPr>
        <w:jc w:val="both"/>
        <w:pStyle w:val="Normal"/>
      </w:pPr>
      <w:r>
        <w:rPr>
          <w:rFonts w:hAnsi="Times New Roman" w:cs="Times New Roman"/>
        </w:rPr>
        <w:t xml:space="preserve">U 2027. godini iznos od 3.500.000 eura za slijedeća kapitalna ulaganja: za provedbu privremenih mjera usklađenja tunela sukladno Pravilniku o minimalnim sigurnosnim zahtjevima za tunele s EU direktivom 54/2004 (primjena dodatne mjere do izgradnje zapadnih tunelskih cijevi tunela Sv. Tri Kralja i Brezovica, dodatna mjera sastoji se od najma vatrogasne postrojbe s jednim navalnim vatrogasnim vozilom s najmanje dva vatrogasca i autocisternom s jednim vatrogascem kapaciteta od 5.000 litara ispred južnog portala tunela Sv. Tri Kralja tijekom cijele godine, od 01.01. do 31.12.).
</w:t>
      </w:r>
    </w:p>
    <w:p>
      <w:pPr>
        <w:jc w:val="both"/>
        <w:pStyle w:val="Normal"/>
      </w:pPr>
      <w:r>
        <w:rPr>
          <w:rFonts w:hAnsi="Times New Roman" w:cs="Times New Roman"/>
        </w:rPr>
        <w:t xml:space="preserve">U 2028. godini iznos od 1.100.000 eura za slijedeća kapitalna ulaganja: za provedbu privremenih mjera usklađenja tunela sukladno Pravilniku o minimalnim sigurnosnim zahtjevima za tunele s EU direktivom 54/2004 (primjena dodatne mjere do izgradnje zapadnih tunelskih cijevi tunela Sv. Tri Kralja i Brezovica, dodatna mjera sastoji se od najma vatrogasne postrojbe s jednim navalnim vatrogasnim vozilom s najmanje dva vatrogasca i autocisternom s jednim vatrogascem kapaciteta od 5.000 litara ispred južnog portala tunela Sv. Tri Kralja tijekom cijele godine, od 01.01. do 31.12.), održavanje nadvožnjaka temeljem članka 29.1 Zakona o cestama (članak 41.1 Ugovora o koncesiji) - glavni pregled objekata.
</w:t>
      </w:r>
    </w:p>
    <w:p>
      <w:pPr>
        <w:jc w:val="both"/>
        <w:pStyle w:val="Normal"/>
      </w:pPr>
      <w:r>
        <w:rPr>
          <w:rFonts w:hAnsi="Times New Roman" w:cs="Times New Roman"/>
        </w:rPr>
        <w:t xml:space="preserve">
</w:t>
      </w:r>
    </w:p>
    <w:p>
      <w:pPr>
        <w:jc w:val="both"/>
        <w:pStyle w:val="Normal"/>
      </w:pPr>
      <w:r>
        <w:rPr>
          <w:rFonts w:hAnsi="Times New Roman" w:cs="Times New Roman"/>
        </w:rPr>
        <w:t xml:space="preserve">Odstupanje u odnosu na rebalans za 2025. godinu:
</w:t>
      </w:r>
    </w:p>
    <w:p>
      <w:pPr>
        <w:jc w:val="both"/>
        <w:pStyle w:val="Normal"/>
      </w:pPr>
      <w:r>
        <w:rPr>
          <w:rFonts w:hAnsi="Times New Roman" w:cs="Times New Roman"/>
        </w:rPr>
        <w:t xml:space="preserve">Sve gore navedene obaveze Davatelja koncesije (RH), podložne su promjenama sukladno Financijskom modelu, a sve prema ugovornoj dokumentaciji. Prognozirani porast prihoda po Financijskom modelu rezultira i povećanim obvezama za Davatelja koncesije, sukladno ugovornoj dokumentaciji.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kilometara investicijski održavanih autocesta u nadležnosti AZM-a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Sukladno obvezama proizašlih iz Ugovora o koncesiji dio sredstava namijenjen je za održavanje autocesta u nadležnosti AZM-a</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Autocesta Zagreb-Macelj d.o.o.</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7</w:t>
            </w:r>
          </w:p>
        </w:tc>
      </w:tr>
    </w:tbl>
    <w:p>
      <w:pPr>
        <w:jc w:val="left"/>
      </w:pPr>
      <w:r>
        <w:rPr>
          <w:rFonts w:hAnsi="Times New Roman" w:cs="Times New Roman"/>
        </w:rPr>
        <w:t xml:space="preserve"/>
      </w:r>
    </w:p>
    <w:p>
      <w:pPr>
        <w:jc w:val="left"/>
        <w:pStyle w:val="Heading4"/>
      </w:pPr>
      <w:r>
        <w:rPr>
          <w:rFonts w:hAnsi="Times New Roman" w:cs="Times New Roman"/>
        </w:rPr>
        <w:t xml:space="preserve">T754082 POMOĆI BIH U PROMETNOJ POVEZANOSTI I INTEGRACIJI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Odluka Vlade Republike Hrvatske vezano za sufinanciranje projekta izgradnje regionalne ceste R428 na dionici Zavala - Orahov Do - Granica RH (Slano) u duljini od 10 kilometara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T754082-POMOĆI BIH U PROMETNOJ POVEZANOSTI I INTEGRACIJI</w:t>
            </w:r>
          </w:p>
        </w:tc>
        <w:tc>
          <w:tcPr>
            <w:tcW w:w="1632.96" w:type="dxa"/>
            <w:vAlign w:val="center"/>
          </w:tcPr>
          <w:p>
            <w:pPr>
              <w:jc w:val="both"/>
              <w:pStyle w:val="CellColumn"/>
            </w:pPr>
            <w:r>
              <w:rPr>
                <w:rFonts w:hAnsi="Times New Roman" w:cs="Times New Roman"/>
              </w:rPr>
              <w:t xml:space="preserve">3.343.841</w:t>
            </w:r>
          </w:p>
        </w:tc>
        <w:tc>
          <w:tcPr>
            <w:tcW w:w="1632.96" w:type="dxa"/>
            <w:vAlign w:val="center"/>
          </w:tcPr>
          <w:p>
            <w:pPr>
              <w:jc w:val="both"/>
              <w:pStyle w:val="CellColumn"/>
            </w:pPr>
            <w:r>
              <w:rPr>
                <w:rFonts w:hAnsi="Times New Roman" w:cs="Times New Roman"/>
              </w:rPr>
              <w:t xml:space="preserve">7.999.915</w:t>
            </w:r>
          </w:p>
        </w:tc>
        <w:tc>
          <w:tcPr>
            <w:tcW w:w="1632.96" w:type="dxa"/>
            <w:vAlign w:val="center"/>
          </w:tcPr>
          <w:p>
            <w:pPr>
              <w:jc w:val="both"/>
              <w:pStyle w:val="CellColumn"/>
            </w:pPr>
            <w:r>
              <w:rPr>
                <w:rFonts w:hAnsi="Times New Roman" w:cs="Times New Roman"/>
              </w:rPr>
              <w:t xml:space="preserve">11.760.000</w:t>
            </w:r>
          </w:p>
        </w:tc>
        <w:tc>
          <w:tcPr>
            <w:tcW w:w="1632.96" w:type="dxa"/>
            <w:vAlign w:val="center"/>
          </w:tcPr>
          <w:p>
            <w:pPr>
              <w:jc w:val="both"/>
              <w:pStyle w:val="CellColumn"/>
            </w:pPr>
            <w:r>
              <w:rPr>
                <w:rFonts w:hAnsi="Times New Roman" w:cs="Times New Roman"/>
              </w:rPr>
              <w:t xml:space="preserve">6.812.000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147,0</w:t>
            </w:r>
          </w:p>
        </w:tc>
      </w:tr>
    </w:tbl>
    <w:p>
      <w:pPr>
        <w:jc w:val="left"/>
      </w:pPr>
      <w:r>
        <w:rPr>
          <w:rFonts w:hAnsi="Times New Roman" w:cs="Times New Roman"/>
        </w:rPr>
        <w:t xml:space="preserve"/>
      </w:r>
    </w:p>
    <w:p>
      <w:pPr>
        <w:jc w:val="both"/>
        <w:pStyle w:val="Normal"/>
      </w:pPr>
      <w:r>
        <w:rPr>
          <w:rFonts w:hAnsi="Times New Roman" w:cs="Times New Roman"/>
        </w:rPr>
        <w:t xml:space="preserve">Izgradnja/rekonstrukcija prometnice između Posušja i Aržana ima izuzetnu važnost za povezivanje pograničnog dijela BiH s Hrvatskom, te omogućuje razvoj mreže poprečnih prometnica koje povezuju hrvatsko stanovništvo s obje strane granice. Ova prometnica olakšala bi povezivanje i pogranično prometovanje iz smjera Mostara-Gruda-Posušja prema Trilju, Livnu, Sinju, Kninu, te bi s vremenom imala perspektivu da postane važna prometnica koja povezuje Zapadnu Hercegovinu s Dalmacijom. Uz aktiviranje ovog prometnog pravca, te završetkom izgradnje ceste Zidine-Vinica stvorila bi se najkraća cestovna veza između hrvatskih prostora u Srednjoj Bosni s hrvatskom obalom. Pored prometnog značaja za pogranična područja, ova prometnica kao najkraći prometni pravac omogućuje lakšu turističku dostupnost između Jadranske obale i Parka prirode Blidinje. Isto tako ovaj prometni pravac omogućio bi stvaranje poslovnih zona, razvoj ruralnog turizma, kao i brojne druge perspektive za gospodarsku i drugu revitalizaciju cijelog kraja kroz koji prolazi navedena prometnica.
</w:t>
      </w:r>
    </w:p>
    <w:p>
      <w:pPr>
        <w:jc w:val="both"/>
        <w:pStyle w:val="Normal"/>
      </w:pPr>
      <w:r>
        <w:rPr>
          <w:rFonts w:hAnsi="Times New Roman" w:cs="Times New Roman"/>
        </w:rPr>
        <w:t xml:space="preserve">Magistralna cesta M17.6 Dračevo-Cerovica-Hutovo-Ravno u mjestu Cerovica spaja se na magistralnu cestu M17.3 Neum-Stolac (nastavak prema Mostaru) te se u nastavku povezuje sa magistralnom cestom M17 koja predstavlja europski koridor E73 kroz Bosnu i Hercegovinu i Republiku Hrvatsku (prema Opuzenu) i izrazito je bitna za povezivanje s gradom Čapljinom kao prvim većim gradom u Bosni i Hercegovini kojem gravitiraju Općine Neum i Ravno.
</w:t>
      </w:r>
    </w:p>
    <w:p>
      <w:pPr>
        <w:jc w:val="both"/>
        <w:pStyle w:val="Normal"/>
      </w:pPr>
      <w:r>
        <w:rPr>
          <w:rFonts w:hAnsi="Times New Roman" w:cs="Times New Roman"/>
        </w:rPr>
        <w:t xml:space="preserve">Cilj i svrha ovog projekta je prometno povezivanje općina Neum i Ravno, poboljšanje uvjeta života lokalnog stanovništva u zoni predmetne dionice, te poboljšanje prometnih uvjeta na jugu Bosne i Hercegovine kao i na dijelu juga Republike Hrvatske gdje bi se postiglo određeno prometno rasterećenje.
</w:t>
      </w:r>
    </w:p>
    <w:p>
      <w:pPr>
        <w:jc w:val="both"/>
        <w:pStyle w:val="Normal"/>
      </w:pPr>
      <w:r>
        <w:rPr>
          <w:rFonts w:hAnsi="Times New Roman" w:cs="Times New Roman"/>
        </w:rPr>
        <w:t xml:space="preserve">Odstupanje u odnosu na rebalans za 2025. godinu:
</w:t>
      </w:r>
    </w:p>
    <w:p>
      <w:pPr>
        <w:jc w:val="both"/>
        <w:pStyle w:val="Normal"/>
      </w:pPr>
      <w:r>
        <w:rPr>
          <w:rFonts w:hAnsi="Times New Roman" w:cs="Times New Roman"/>
        </w:rPr>
        <w:t xml:space="preserve">Sukladno Odlukama Vlade Republike Hrvatske u 2026. godini potrebno je osigurati dodatna sredstva za izgradnju prometnice Ravno-Hutovo i Vir-Vinica-Granica RH (Aržano).</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novoizgrađenih kilometara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Izgradnja dionice Vir-Vinica-Granica RH (Aržano) pridonosi kvalitetnijoj prometnoj povezanosti RH i BiH</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Županija Zapadnohercegovačka i Hercegbosanska županija (BiH)</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15,5</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Broj novoizgrađenih kilometara    
</w:t>
            </w:r>
          </w:p>
          <w:p>
            <w:pPr>
              <w:jc w:val="both"/>
              <w:pStyle w:val="CellColumn"/>
            </w:pPr>
            <w:r>
              <w:rPr>
                <w:rFonts w:hAnsi="Times New Roman" w:cs="Times New Roman"/>
              </w:rPr>
              <w:t xml:space="preserve">(godišnja vrijednost)
</w:t>
            </w:r>
          </w:p>
          <w:p>
            <w:pPr>
              <w:jc w:val="both"/>
              <w:pStyle w:val="CellColumn"/>
            </w:pPr>
            <w:r>
              <w:rPr>
                <w:rFonts w:hAnsi="Times New Roman" w:cs="Times New Roman"/>
              </w:rPr>
              <w:t xml:space="preserve">.</w:t>
            </w:r>
          </w:p>
        </w:tc>
        <w:tc>
          <w:tcPr>
            <w:tcW w:w="2245.32" w:type="dxa"/>
            <w:vAlign w:val="center"/>
          </w:tcPr>
          <w:p>
            <w:pPr>
              <w:jc w:val="both"/>
              <w:pStyle w:val="CellColumn"/>
            </w:pPr>
            <w:r>
              <w:rPr>
                <w:rFonts w:hAnsi="Times New Roman" w:cs="Times New Roman"/>
              </w:rPr>
              <w:t xml:space="preserve">Izgradnja dionice Hutovo-Ravno pridonosi kvalitetnijoj prometnoj povezanosti RH i BiH.</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Općina Ravno i Neum (BiH)</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16</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T821083 CEF X4ITS PROJEKT - SREDNJOEUROPSKA PREKOGRANIČNA SURADNJA ZA INTELIGENTNE TRANSPORTNE SUSTAVE (ITS)</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cestama  
</w:t>
      </w:r>
    </w:p>
    <w:p>
      <w:pPr>
        <w:jc w:val="both"/>
        <w:pStyle w:val="Normal5"/>
      </w:pPr>
      <w:r>
        <w:rPr>
          <w:rFonts w:hAnsi="Times New Roman" w:cs="Times New Roman"/>
        </w:rPr>
        <w:t xml:space="preserve">- Direktiva 2010/40/EU Europskog parlamenta i Vijeća od 7. srpnja 2010. godine o okviru za uvođenje inteligentnih prometnih sustava u cestovnom prometu i za veze s ostalim vrstama prijevoza 
</w:t>
      </w:r>
    </w:p>
    <w:p>
      <w:pPr>
        <w:jc w:val="both"/>
        <w:pStyle w:val="Normal5"/>
      </w:pPr>
      <w:r>
        <w:rPr>
          <w:rFonts w:hAnsi="Times New Roman" w:cs="Times New Roman"/>
        </w:rPr>
        <w:t xml:space="preserve">- Delegirana uredba Komisije (EU) 2017/1926 od 31. svibnja 2017. godine o dopuni Direktive 2010/40/EU Europskog parlamenta i Vijeća u pogledu pružanja informacija o multimodalnim putovanjima na razini EU-a (SL L 272, 21.10.2017.) 
</w:t>
      </w:r>
    </w:p>
    <w:p>
      <w:pPr>
        <w:jc w:val="both"/>
        <w:pStyle w:val="Normal5"/>
      </w:pPr>
      <w:r>
        <w:rPr>
          <w:rFonts w:hAnsi="Times New Roman" w:cs="Times New Roman"/>
        </w:rPr>
        <w:t xml:space="preserve">- Grant Agreement: Project 101122492 — 22-EU-TG-X4ITS</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T821083-CEF X4ITS PROJEKT - SREDNJOEUROPSKA PREKOGRANIČNA SURADNJA ZA INTELIGENTNE TRANSPORTNE SUSTAVE (ITS)</w:t>
            </w:r>
          </w:p>
        </w:tc>
        <w:tc>
          <w:tcPr>
            <w:tcW w:w="1632.96" w:type="dxa"/>
            <w:vAlign w:val="center"/>
          </w:tcPr>
          <w:p>
            <w:pPr>
              <w:jc w:val="both"/>
              <w:pStyle w:val="CellColumn"/>
            </w:pPr>
            <w:r>
              <w:rPr>
                <w:rFonts w:hAnsi="Times New Roman" w:cs="Times New Roman"/>
              </w:rPr>
              <w:t xml:space="preserve">33.836</w:t>
            </w:r>
          </w:p>
        </w:tc>
        <w:tc>
          <w:tcPr>
            <w:tcW w:w="1632.96" w:type="dxa"/>
            <w:vAlign w:val="center"/>
          </w:tcPr>
          <w:p>
            <w:pPr>
              <w:jc w:val="both"/>
              <w:pStyle w:val="CellColumn"/>
            </w:pPr>
            <w:r>
              <w:rPr>
                <w:rFonts w:hAnsi="Times New Roman" w:cs="Times New Roman"/>
              </w:rPr>
              <w:t xml:space="preserve">54.463</w:t>
            </w:r>
          </w:p>
        </w:tc>
        <w:tc>
          <w:tcPr>
            <w:tcW w:w="1632.96" w:type="dxa"/>
            <w:vAlign w:val="center"/>
          </w:tcPr>
          <w:p>
            <w:pPr>
              <w:jc w:val="both"/>
              <w:pStyle w:val="CellColumn"/>
            </w:pPr>
            <w:r>
              <w:rPr>
                <w:rFonts w:hAnsi="Times New Roman" w:cs="Times New Roman"/>
              </w:rPr>
              <w:t xml:space="preserve">46.863</w:t>
            </w:r>
          </w:p>
        </w:tc>
        <w:tc>
          <w:tcPr>
            <w:tcW w:w="1632.96" w:type="dxa"/>
            <w:vAlign w:val="center"/>
          </w:tcPr>
          <w:p>
            <w:pPr>
              <w:jc w:val="both"/>
              <w:pStyle w:val="CellColumn"/>
            </w:pPr>
            <w:r>
              <w:rPr>
                <w:rFonts w:hAnsi="Times New Roman" w:cs="Times New Roman"/>
              </w:rPr>
              <w:t xml:space="preserve">62.563</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86,0</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na otvoreni poziv CEF-T-2022-SIMOBGEN, sudjeluje u podnošenju prijave za projekt „Central European cross-border cooperation for ITS – X4ITS“ pod temom „CEF-T-2022-SIMOBGEN-ITS-WORKS: ITS – studies, works or mixed”. 
</w:t>
      </w:r>
    </w:p>
    <w:p>
      <w:pPr>
        <w:jc w:val="both"/>
        <w:pStyle w:val="Normal"/>
      </w:pPr>
      <w:r>
        <w:rPr>
          <w:rFonts w:hAnsi="Times New Roman" w:cs="Times New Roman"/>
        </w:rPr>
        <w:t xml:space="preserve">Republika Hrvatska navedeni ITS (Inteligent Transport System) projekt, sufinanciran kroz CEF fond u iznosu od 50%, prijavljuje zajedno s Austrijom (koordinator), Češkom, Mađarskom, Slovenijom i Rumunjskom, a zajedničku prijavu pripremala je austrijska agencija AustriaTech. Razdoblje trajanja projekta predviđeno je od 1. ožujka 2023. do 28. veljače 2027. godine. 
</w:t>
      </w:r>
    </w:p>
    <w:p>
      <w:pPr>
        <w:jc w:val="both"/>
        <w:pStyle w:val="Normal"/>
      </w:pPr>
      <w:r>
        <w:rPr>
          <w:rFonts w:hAnsi="Times New Roman" w:cs="Times New Roman"/>
        </w:rPr>
        <w:t xml:space="preserve">Ministarstvo mora, prometa i infrastrukture u projektu će sudjelovati kao korisnik, a Hrvatske autoceste d.o.o., Autocesta Zagreb - Macelj d.o.o., Bina - Istra d.d. i Hrvatske ceste d.o.o. kao povezani subjekti. Svaki sudionik projekta (povezani subjekt) osigurava nacionalnu komponentu u projektu. 
</w:t>
      </w:r>
    </w:p>
    <w:p>
      <w:pPr>
        <w:jc w:val="both"/>
        <w:pStyle w:val="Normal"/>
      </w:pPr>
      <w:r>
        <w:rPr>
          <w:rFonts w:hAnsi="Times New Roman" w:cs="Times New Roman"/>
        </w:rPr>
        <w:t xml:space="preserve">Predmetni projekt X4ITS predstavlja nastavak već uspješno provedenih projekata Crocodile 2 (uvođenje DATEX II protokola) i Crocodile 3 (proširenje DATEX II protokola), sve sukladno Direktivi 2010/40/EU iz područja ITS-a. Navedenim projektom će se instalirati ITS oprema u zgradama za upravljanje prometom (primjerice zamjena hardverske opreme za prikupljanje podataka iz sustava za kontrolu prometa radi dostave pouzdanih podataka u Nacionalnu pristupnu točku) te ITS oprema na autocestama i državnim cestama (primjerice zamjena analognih kamera s IP kamerama današnje generacije, odnosno digitalizacija video sustava autoceste (CCTV) kojim će se sudionicima u prometu osigurati pružanje informacija u stvarnom vremenu, kako bi se korisnicima autocesta pojednostavnio izbor rute putovanja i smanjio utjecaj zagušenja u prometu na njegove sudionike, a čime bi se povećala i sigurnost prometa; ugradnja dodatnih meteo stanica u svrhu poboljšanja sigurnosti prometa i informiranja sudionika; ugradnja info-displeja na cestama te u tunelima u svrhu unaprjeđenja upravljanja prometom u slučaju prometne nezgode, odnosno provedbe planova upravljanja prometom).</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izvršenih aktivnosti projekta koje će biti razrađene Nacrtom Grant Argeementa</w:t>
            </w:r>
          </w:p>
        </w:tc>
        <w:tc>
          <w:tcPr>
            <w:tcW w:w="2245.32" w:type="dxa"/>
            <w:vAlign w:val="center"/>
          </w:tcPr>
          <w:p>
            <w:pPr>
              <w:jc w:val="both"/>
              <w:pStyle w:val="CellColumn"/>
            </w:pPr>
            <w:r>
              <w:rPr>
                <w:rFonts w:hAnsi="Times New Roman" w:cs="Times New Roman"/>
              </w:rPr>
              <w:t xml:space="preserve">Izvršenje 6 aktivnosti definiranih Grant ugovorom omogućit će poboljšanje prekograničnog prometa provedbom usklađenih i sinkroniziranih ITS aplikacija na cestovnoj mreži.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3"/>
      </w:pPr>
      <w:r>
        <w:rPr>
          <w:rFonts w:hAnsi="Times New Roman" w:cs="Times New Roman"/>
        </w:rPr>
        <w:t xml:space="preserve">3111 PRIPREMA I PROVEDBA PROJEKATA SUFINANCIRANIH SREDSTVIMA FONDOVA EU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3111-PRIPREMA I PROVEDBA PROJEKATA SUFINANCIRANIH SREDSTVIMA FONDOVA EU</w:t>
            </w:r>
          </w:p>
        </w:tc>
        <w:tc>
          <w:tcPr>
            <w:tcW w:w="1632.96" w:type="dxa"/>
            <w:vAlign w:val="center"/>
          </w:tcPr>
          <w:p>
            <w:pPr>
              <w:jc w:val="both"/>
              <w:pStyle w:val="CellColumn"/>
            </w:pPr>
            <w:r>
              <w:rPr>
                <w:rFonts w:hAnsi="Times New Roman" w:cs="Times New Roman"/>
              </w:rPr>
              <w:t xml:space="preserve">170.561.220</w:t>
            </w:r>
          </w:p>
        </w:tc>
        <w:tc>
          <w:tcPr>
            <w:tcW w:w="1632.96" w:type="dxa"/>
            <w:vAlign w:val="center"/>
          </w:tcPr>
          <w:p>
            <w:pPr>
              <w:jc w:val="both"/>
              <w:pStyle w:val="CellColumn"/>
            </w:pPr>
            <w:r>
              <w:rPr>
                <w:rFonts w:hAnsi="Times New Roman" w:cs="Times New Roman"/>
              </w:rPr>
              <w:t xml:space="preserve">140.714.417</w:t>
            </w:r>
          </w:p>
        </w:tc>
        <w:tc>
          <w:tcPr>
            <w:tcW w:w="1632.96" w:type="dxa"/>
            <w:vAlign w:val="center"/>
          </w:tcPr>
          <w:p>
            <w:pPr>
              <w:jc w:val="both"/>
              <w:pStyle w:val="CellColumn"/>
            </w:pPr>
            <w:r>
              <w:rPr>
                <w:rFonts w:hAnsi="Times New Roman" w:cs="Times New Roman"/>
              </w:rPr>
              <w:t xml:space="preserve">389.934.504</w:t>
            </w:r>
          </w:p>
        </w:tc>
        <w:tc>
          <w:tcPr>
            <w:tcW w:w="1632.96" w:type="dxa"/>
            <w:vAlign w:val="center"/>
          </w:tcPr>
          <w:p>
            <w:pPr>
              <w:jc w:val="both"/>
              <w:pStyle w:val="CellColumn"/>
            </w:pPr>
            <w:r>
              <w:rPr>
                <w:rFonts w:hAnsi="Times New Roman" w:cs="Times New Roman"/>
              </w:rPr>
              <w:t xml:space="preserve">468.834.392</w:t>
            </w:r>
          </w:p>
        </w:tc>
        <w:tc>
          <w:tcPr>
            <w:tcW w:w="1632.96" w:type="dxa"/>
            <w:vAlign w:val="center"/>
          </w:tcPr>
          <w:p>
            <w:pPr>
              <w:jc w:val="both"/>
              <w:pStyle w:val="CellColumn"/>
            </w:pPr>
            <w:r>
              <w:rPr>
                <w:rFonts w:hAnsi="Times New Roman" w:cs="Times New Roman"/>
              </w:rPr>
              <w:t xml:space="preserve">139.490.181</w:t>
            </w:r>
          </w:p>
        </w:tc>
        <w:tc>
          <w:tcPr>
            <w:tcW w:w="510.3" w:type="dxa"/>
            <w:vAlign w:val="center"/>
          </w:tcPr>
          <w:p>
            <w:pPr>
              <w:jc w:val="both"/>
              <w:pStyle w:val="CellColumn"/>
            </w:pPr>
            <w:r>
              <w:rPr>
                <w:rFonts w:hAnsi="Times New Roman" w:cs="Times New Roman"/>
              </w:rPr>
              <w:t xml:space="preserve">277,1</w:t>
            </w:r>
          </w:p>
        </w:tc>
      </w:tr>
    </w:tbl>
    <w:p>
      <w:pPr>
        <w:jc w:val="left"/>
      </w:pPr>
      <w:r>
        <w:rPr>
          <w:rFonts w:hAnsi="Times New Roman" w:cs="Times New Roman"/>
        </w:rPr>
        <w:t xml:space="preserve"/>
      </w:r>
    </w:p>
    <w:p>
      <w:pPr>
        <w:jc w:val="left"/>
        <w:pStyle w:val="Heading7"/>
      </w:pPr>
      <w:r>
        <w:rPr>
          <w:rFonts w:hAnsi="Times New Roman" w:cs="Times New Roman"/>
        </w:rPr>
        <w:t xml:space="preserve">Cilj 1. Uspješna priprema i praćenje provedbe projekata sufinanciranih sredstvima fondova EU</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ugovorenih projekata u odnosu na planiran broj projekata za ugovaranje</w:t>
            </w:r>
          </w:p>
        </w:tc>
        <w:tc>
          <w:tcPr>
            <w:tcW w:w="2245.32" w:type="dxa"/>
            <w:vAlign w:val="center"/>
          </w:tcPr>
          <w:p>
            <w:pPr>
              <w:jc w:val="both"/>
              <w:pStyle w:val="CellColumn"/>
            </w:pPr>
            <w:r>
              <w:rPr>
                <w:rFonts w:hAnsi="Times New Roman" w:cs="Times New Roman"/>
              </w:rPr>
              <w:t xml:space="preserve">Ovim pokazateljem će se mjeriti učinkovitost realizacije pripreme projekata sufinanciranih sredstvima fondova EU</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80</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96</w:t>
            </w:r>
          </w:p>
        </w:tc>
        <w:tc>
          <w:tcPr>
            <w:tcW w:w="918.54" w:type="dxa"/>
            <w:vAlign w:val="center"/>
          </w:tcPr>
          <w:p>
            <w:pPr>
              <w:jc w:val="both"/>
              <w:pStyle w:val="CellColumn"/>
            </w:pPr>
            <w:r>
              <w:rPr>
                <w:rFonts w:hAnsi="Times New Roman" w:cs="Times New Roman"/>
              </w:rPr>
              <w:t xml:space="preserve">98</w:t>
            </w:r>
          </w:p>
        </w:tc>
        <w:tc>
          <w:tcPr>
            <w:tcW w:w="918.54" w:type="dxa"/>
            <w:vAlign w:val="center"/>
          </w:tcPr>
          <w:p>
            <w:pPr>
              <w:jc w:val="both"/>
              <w:pStyle w:val="CellColumn"/>
            </w:pPr>
            <w:r>
              <w:rPr>
                <w:rFonts w:hAnsi="Times New Roman" w:cs="Times New Roman"/>
              </w:rPr>
              <w:t xml:space="preserve">98</w:t>
            </w:r>
          </w:p>
        </w:tc>
      </w:tr>
    </w:tbl>
    <w:p>
      <w:pPr>
        <w:jc w:val="left"/>
      </w:pPr>
      <w:r>
        <w:rPr>
          <w:rFonts w:hAnsi="Times New Roman" w:cs="Times New Roman"/>
        </w:rPr>
        <w:t xml:space="preserve"/>
      </w:r>
    </w:p>
    <w:p>
      <w:pPr>
        <w:jc w:val="left"/>
        <w:pStyle w:val="Heading4"/>
      </w:pPr>
      <w:r>
        <w:rPr>
          <w:rFonts w:hAnsi="Times New Roman" w:cs="Times New Roman"/>
        </w:rPr>
        <w:t xml:space="preserve">A754081 POVRAT NEPRIHVATLJIVIH TROŠKOVA FINANCIRANIH IZ EU SREDSTAVA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proračunu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A754081-POVRAT NEPRIHVATLJIVIH TROŠKOVA FINANCIRANIH IZ EU SREDSTAVA</w:t>
            </w:r>
          </w:p>
        </w:tc>
        <w:tc>
          <w:tcPr>
            <w:tcW w:w="1632.96" w:type="dxa"/>
            <w:vAlign w:val="center"/>
          </w:tcPr>
          <w:p>
            <w:pPr>
              <w:jc w:val="both"/>
              <w:pStyle w:val="CellColumn"/>
            </w:pPr>
            <w:r>
              <w:rPr>
                <w:rFonts w:hAnsi="Times New Roman" w:cs="Times New Roman"/>
              </w:rPr>
              <w:t xml:space="preserve">12.947</w:t>
            </w:r>
          </w:p>
        </w:tc>
        <w:tc>
          <w:tcPr>
            <w:tcW w:w="1632.96" w:type="dxa"/>
            <w:vAlign w:val="center"/>
          </w:tcPr>
          <w:p>
            <w:pPr>
              <w:jc w:val="both"/>
              <w:pStyle w:val="CellColumn"/>
            </w:pPr>
            <w:r>
              <w:rPr>
                <w:rFonts w:hAnsi="Times New Roman" w:cs="Times New Roman"/>
              </w:rPr>
              <w:t xml:space="preserve">2.000</w:t>
            </w:r>
          </w:p>
        </w:tc>
        <w:tc>
          <w:tcPr>
            <w:tcW w:w="1632.96" w:type="dxa"/>
            <w:vAlign w:val="center"/>
          </w:tcPr>
          <w:p>
            <w:pPr>
              <w:jc w:val="both"/>
              <w:pStyle w:val="CellColumn"/>
            </w:pPr>
            <w:r>
              <w:rPr>
                <w:rFonts w:hAnsi="Times New Roman" w:cs="Times New Roman"/>
              </w:rPr>
              <w:t xml:space="preserve">1.500</w:t>
            </w:r>
          </w:p>
        </w:tc>
        <w:tc>
          <w:tcPr>
            <w:tcW w:w="1632.96" w:type="dxa"/>
            <w:vAlign w:val="center"/>
          </w:tcPr>
          <w:p>
            <w:pPr>
              <w:jc w:val="both"/>
              <w:pStyle w:val="CellColumn"/>
            </w:pPr>
            <w:r>
              <w:rPr>
                <w:rFonts w:hAnsi="Times New Roman" w:cs="Times New Roman"/>
              </w:rPr>
              <w:t xml:space="preserve">1.500</w:t>
            </w:r>
          </w:p>
        </w:tc>
        <w:tc>
          <w:tcPr>
            <w:tcW w:w="1632.96" w:type="dxa"/>
            <w:vAlign w:val="center"/>
          </w:tcPr>
          <w:p>
            <w:pPr>
              <w:jc w:val="both"/>
              <w:pStyle w:val="CellColumn"/>
            </w:pPr>
            <w:r>
              <w:rPr>
                <w:rFonts w:hAnsi="Times New Roman" w:cs="Times New Roman"/>
              </w:rPr>
              <w:t xml:space="preserve">1.500</w:t>
            </w:r>
          </w:p>
        </w:tc>
        <w:tc>
          <w:tcPr>
            <w:tcW w:w="510.3" w:type="dxa"/>
            <w:vAlign w:val="center"/>
          </w:tcPr>
          <w:p>
            <w:pPr>
              <w:jc w:val="both"/>
              <w:pStyle w:val="CellColumn"/>
            </w:pPr>
            <w:r>
              <w:rPr>
                <w:rFonts w:hAnsi="Times New Roman" w:cs="Times New Roman"/>
              </w:rPr>
              <w:t xml:space="preserve">75,0</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na ovoj aktivnosti namijenjena su za povrat sredstava u proračun Europske unije, u slučaju možebitno neadekvatno utrošenih sredstava u sklopu projekata financiranih iz fondova Europske unije, a koje nadležna tijela Europske unije naknadno utvrde kao neprihvatljiv trošak projekta.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povrata sredstava u proračun Europske unije</w:t>
            </w:r>
          </w:p>
        </w:tc>
        <w:tc>
          <w:tcPr>
            <w:tcW w:w="2245.32" w:type="dxa"/>
            <w:vAlign w:val="center"/>
          </w:tcPr>
          <w:p>
            <w:pPr>
              <w:jc w:val="both"/>
              <w:pStyle w:val="CellColumn"/>
            </w:pPr>
            <w:r>
              <w:rPr>
                <w:rFonts w:hAnsi="Times New Roman" w:cs="Times New Roman"/>
              </w:rPr>
              <w:t xml:space="preserve">Sredstva na ime neprihvatljivih troškova u projektima koji su financirani sredstvima Europske unije, a koja se uplaćuju u proračun Europske unije na temelju zahtjeva za uplatu nadležnih tijela Europske unije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T754039 OP KONKURENTNOST I KOHEZIJA, PRIORITETNA OS 7. POVEZANOST I MOBILNOST</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Bijela knjiga: Plan puta u jedinstveni europski prometni prostor (ECE 2011)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Sporazum o partnerstvu između RH i EK za korištenje EU strukturnih i investicijskih fondova za rast i radna mjesta u razdoblju 2014.-2020.
</w:t>
      </w:r>
    </w:p>
    <w:p>
      <w:pPr>
        <w:jc w:val="both"/>
        <w:pStyle w:val="Normal5"/>
      </w:pPr>
      <w:r>
        <w:rPr>
          <w:rFonts w:hAnsi="Times New Roman" w:cs="Times New Roman"/>
        </w:rPr>
        <w:t xml:space="preserve">-	Operativni program „Konkurentnost i kohezija 2014.-2020.“, izmjena odobrena od strane EK 16. prosinca 2022. godine (dalje: OPKK)
</w:t>
      </w:r>
    </w:p>
    <w:p>
      <w:pPr>
        <w:jc w:val="both"/>
        <w:pStyle w:val="Normal5"/>
      </w:pPr>
      <w:r>
        <w:rPr>
          <w:rFonts w:hAnsi="Times New Roman" w:cs="Times New Roman"/>
        </w:rPr>
        <w:t xml:space="preserve">-	Zakon o uspostavi institucionalnog okvira za provedbu ESI fondova u RH u financijskom razdoblju 2014.-2020.
</w:t>
      </w:r>
    </w:p>
    <w:p>
      <w:pPr>
        <w:jc w:val="both"/>
        <w:pStyle w:val="Normal5"/>
      </w:pPr>
      <w:r>
        <w:rPr>
          <w:rFonts w:hAnsi="Times New Roman" w:cs="Times New Roman"/>
        </w:rPr>
        <w:t xml:space="preserve">-	Uredba o tijelima u sustavima upravljanja i kontrole korištenja ESF, EFRR i KF, u vezi s ciljem „Ulaganje za rast i radna mjesta“ (dalje: Uredba)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T754039-OP KONKURENTNOST I KOHEZIJA, PRIORITETNA OS 7. POVEZANOST I MOBILNOST</w:t>
            </w:r>
          </w:p>
        </w:tc>
        <w:tc>
          <w:tcPr>
            <w:tcW w:w="1632.96" w:type="dxa"/>
            <w:vAlign w:val="center"/>
          </w:tcPr>
          <w:p>
            <w:pPr>
              <w:jc w:val="both"/>
              <w:pStyle w:val="CellColumn"/>
            </w:pPr>
            <w:r>
              <w:rPr>
                <w:rFonts w:hAnsi="Times New Roman" w:cs="Times New Roman"/>
              </w:rPr>
              <w:t xml:space="preserve">52.020.512</w:t>
            </w:r>
          </w:p>
        </w:tc>
        <w:tc>
          <w:tcPr>
            <w:tcW w:w="1632.96" w:type="dxa"/>
            <w:vAlign w:val="center"/>
          </w:tcPr>
          <w:p>
            <w:pPr>
              <w:jc w:val="both"/>
              <w:pStyle w:val="CellColumn"/>
            </w:pPr>
            <w:r>
              <w:rPr>
                <w:rFonts w:hAnsi="Times New Roman" w:cs="Times New Roman"/>
              </w:rPr>
              <w:t xml:space="preserve">2.000</w:t>
            </w:r>
          </w:p>
        </w:tc>
        <w:tc>
          <w:tcPr>
            <w:tcW w:w="1632.96" w:type="dxa"/>
            <w:vAlign w:val="center"/>
          </w:tcPr>
          <w:p>
            <w:pPr>
              <w:jc w:val="both"/>
              <w:pStyle w:val="CellColumn"/>
            </w:pPr>
            <w:r>
              <w:rPr>
                <w:rFonts w:hAnsi="Times New Roman" w:cs="Times New Roman"/>
              </w:rPr>
              <w:t xml:space="preserve">2.000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Tekući projekt T754039 OP Konkurentnost i kohezija, prioritetna os 7. Povezanost i mobilnost (dalje: T754039) ima za cilj ulaganje u prometnu infrastrukturu potrebnu za suvremenu, konkurentnu i međusobno povezanu europsku ekonomiju, čime se pridonosi olakšavanju kretanja roba i ljudi, ne samo unutar Hrvatske već i prema ostalim dijelovima Europe te poboljšanju dostupnosti gradova i izoliranih područja funkcionalnim regionalnim centrima i jačanju teritorijalne kohezije.   
</w:t>
      </w:r>
    </w:p>
    <w:p>
      <w:pPr>
        <w:jc w:val="both"/>
        <w:pStyle w:val="Normal"/>
      </w:pPr>
      <w:r>
        <w:rPr>
          <w:rFonts w:hAnsi="Times New Roman" w:cs="Times New Roman"/>
        </w:rPr>
        <w:t xml:space="preserve">Ugovoreno razdoblje prihvatljivosti troškova trajalo je do kraja 2023., a 2024. bila je zadnja godina financiranja iz OPKK. Planirana sredstva za 2026. u iznosu od 2.000 eura odnose se na otvorena konta planirana u slučaju povrata ili isplata eventualno naknadno utvrđenih ispravaka/odobrenja temeljem nalaza revizija/traženja korisnika.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izvršenih isplata korisniku prije krajnjeg roka za plaćanje</w:t>
            </w:r>
          </w:p>
        </w:tc>
        <w:tc>
          <w:tcPr>
            <w:tcW w:w="2245.32" w:type="dxa"/>
            <w:vAlign w:val="center"/>
          </w:tcPr>
          <w:p>
            <w:pPr>
              <w:jc w:val="both"/>
              <w:pStyle w:val="CellColumn"/>
            </w:pPr>
            <w:r>
              <w:rPr>
                <w:rFonts w:hAnsi="Times New Roman" w:cs="Times New Roman"/>
              </w:rPr>
              <w:t xml:space="preserve">Udio izvršenih isplata korisniku prije krajnjeg roka za plaćanje u ukupnom broju izvršenih isplata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96</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96</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T754040 CEF TEHNIČKA POMOĆ</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(EU) 2021/1153 Europskog parlamenta i Vijeća od 7. srpnja 2021. o uspostavi Instrumenta za povezivanje Europe i stavljanju izvan snage uredaba (EU) br. 1316/2013 i (EU) br. 283/2014 
</w:t>
      </w:r>
    </w:p>
    <w:p>
      <w:pPr>
        <w:jc w:val="both"/>
        <w:pStyle w:val="Normal5"/>
      </w:pPr>
      <w:r>
        <w:rPr>
          <w:rFonts w:hAnsi="Times New Roman" w:cs="Times New Roman"/>
        </w:rPr>
        <w:t xml:space="preserve">- Tehnička pomoć državama članicama za aktivnosti povezane s CEF-om, sudjelovanje u željezničkim teretnim koridorima i koridorima osnovne mreže te aktivnostima povezanim s TENtec-om i ažuriranjem i izvješćivanjem putem automatizirane razmjene podataka s TENtec-om – Hrvatska; Projekt 101082757 — 21-HR-TC-CEF-TA-HR  (eng. Technical Assistance to Member States for CEF related activities, participation in the RFC and CNC, and on TEN-Tec for updating and reporting via automated data exchange with TENtec – Croatia; Project 101082757 — 21-HR-TC-CEF-TA-HR)
</w:t>
      </w:r>
    </w:p>
    <w:p>
      <w:pPr>
        <w:jc w:val="both"/>
        <w:pStyle w:val="Normal5"/>
      </w:pPr>
      <w:r>
        <w:rPr>
          <w:rFonts w:hAnsi="Times New Roman" w:cs="Times New Roman"/>
        </w:rPr>
        <w:t xml:space="preserve">- Tehnička pomoć državama članicama za aktivnosti povezane s CEF-om, sudjelovanje u željezničkim teretnim koridorima i Europskim prometnim koridorima te za podršku urbanim čvorovima; Projekt 101225334 - 24-HR-TC-CEF-TA-HR (eng. Technical Assistance to Member States for CEF related activities, participation in the RFC and ETC, and support to urban nodes; Project 101225334 - 24-HR-TC-CEF-TA-HR).</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T754040-CEF TEHNIČKA POMOĆ</w:t>
            </w:r>
          </w:p>
        </w:tc>
        <w:tc>
          <w:tcPr>
            <w:tcW w:w="1632.96" w:type="dxa"/>
            <w:vAlign w:val="center"/>
          </w:tcPr>
          <w:p>
            <w:pPr>
              <w:jc w:val="both"/>
              <w:pStyle w:val="CellColumn"/>
            </w:pPr>
            <w:r>
              <w:rPr>
                <w:rFonts w:hAnsi="Times New Roman" w:cs="Times New Roman"/>
              </w:rPr>
              <w:t xml:space="preserve">86.972</w:t>
            </w:r>
          </w:p>
        </w:tc>
        <w:tc>
          <w:tcPr>
            <w:tcW w:w="1632.96" w:type="dxa"/>
            <w:vAlign w:val="center"/>
          </w:tcPr>
          <w:p>
            <w:pPr>
              <w:jc w:val="both"/>
              <w:pStyle w:val="CellColumn"/>
            </w:pPr>
            <w:r>
              <w:rPr>
                <w:rFonts w:hAnsi="Times New Roman" w:cs="Times New Roman"/>
              </w:rPr>
              <w:t xml:space="preserve">389.400</w:t>
            </w:r>
          </w:p>
        </w:tc>
        <w:tc>
          <w:tcPr>
            <w:tcW w:w="1632.96" w:type="dxa"/>
            <w:vAlign w:val="center"/>
          </w:tcPr>
          <w:p>
            <w:pPr>
              <w:jc w:val="both"/>
              <w:pStyle w:val="CellColumn"/>
            </w:pPr>
            <w:r>
              <w:rPr>
                <w:rFonts w:hAnsi="Times New Roman" w:cs="Times New Roman"/>
              </w:rPr>
              <w:t xml:space="preserve">322.700</w:t>
            </w:r>
          </w:p>
        </w:tc>
        <w:tc>
          <w:tcPr>
            <w:tcW w:w="1632.96" w:type="dxa"/>
            <w:vAlign w:val="center"/>
          </w:tcPr>
          <w:p>
            <w:pPr>
              <w:jc w:val="both"/>
              <w:pStyle w:val="CellColumn"/>
            </w:pPr>
            <w:r>
              <w:rPr>
                <w:rFonts w:hAnsi="Times New Roman" w:cs="Times New Roman"/>
              </w:rPr>
              <w:t xml:space="preserve">278.897</w:t>
            </w:r>
          </w:p>
        </w:tc>
        <w:tc>
          <w:tcPr>
            <w:tcW w:w="1632.96" w:type="dxa"/>
            <w:vAlign w:val="center"/>
          </w:tcPr>
          <w:p>
            <w:pPr>
              <w:jc w:val="both"/>
              <w:pStyle w:val="CellColumn"/>
            </w:pPr>
            <w:r>
              <w:rPr>
                <w:rFonts w:hAnsi="Times New Roman" w:cs="Times New Roman"/>
              </w:rPr>
              <w:t xml:space="preserve">76.900</w:t>
            </w:r>
          </w:p>
        </w:tc>
        <w:tc>
          <w:tcPr>
            <w:tcW w:w="510.3" w:type="dxa"/>
            <w:vAlign w:val="center"/>
          </w:tcPr>
          <w:p>
            <w:pPr>
              <w:jc w:val="both"/>
              <w:pStyle w:val="CellColumn"/>
            </w:pPr>
            <w:r>
              <w:rPr>
                <w:rFonts w:hAnsi="Times New Roman" w:cs="Times New Roman"/>
              </w:rPr>
              <w:t xml:space="preserve">82,9</w:t>
            </w:r>
          </w:p>
        </w:tc>
      </w:tr>
    </w:tbl>
    <w:p>
      <w:pPr>
        <w:jc w:val="left"/>
      </w:pPr>
      <w:r>
        <w:rPr>
          <w:rFonts w:hAnsi="Times New Roman" w:cs="Times New Roman"/>
        </w:rPr>
        <w:t xml:space="preserve"/>
      </w:r>
    </w:p>
    <w:p>
      <w:pPr>
        <w:jc w:val="both"/>
        <w:pStyle w:val="Normal"/>
      </w:pPr>
      <w:r>
        <w:rPr>
          <w:rFonts w:hAnsi="Times New Roman" w:cs="Times New Roman"/>
        </w:rPr>
        <w:t xml:space="preserve">U skladu s ciljevima CEF Uredbe 21-27 (Uredba (EU) 2021/1153), specifični cilj CEF programa je doprinijeti razvoju projekata od zajedničkog interesa koji se odnose na učinkovite, međusobno povezane i multimodalne mreže i infrastrukturu za pametnu, interoperabilnu, održivu, uključivu, dostupnu i sigurnu mobilnost na trans-europskoj prometnoj mreži (TEN-T). Za postizanje ovog cilja je dodijeljena tehnička pomoć Ministarstvu mora, prometa i infrastrukture kao glavnom odgovornom dioniku za uspješnu provedbu infrastrukturnih ulaganja u TEN-T, odnosno Ugovor „Tehnička pomoć državama članicama za aktivnosti povezane s CEF-om, sudjelovanje u željezničkim teretnim koridorima i koridorima osnovne mreže te aktivnostima povezanim s TENtec-om i ažuriranjem i izvješćivanjem putem automatizirane razmjene podataka s TENtec-om – Hrvatska“, a koji  je završio u 2024. godini, dok se dio aktivnosti nastavlja i u 2025. godini. Također, potpisan je novi Ugovor »Tehnička pomoć državama članicama za aktivnosti povezane s CEF-om, sudjelovanje u željezničkim teretnim koridorima i Europskim prometnim koridorima te za podršku urbanim čvorovima«, a koji završava 31. prosinca 2027. Slijedom navedenog, Uprava za EU fondove i strateško planiranje će i u razdoblju 2026.-2028. biti korisnik tehničke pomoći u okviru CEF Instrumenta. Svrha tehničke pomoći je poboljšati protok informacija, unaprijediti provedbu prekograničnih projekata i projekata na TEN-T mreži, unaprijediti suradnju zemalja članica i razmjenu najbolje prakse. 
</w:t>
      </w:r>
    </w:p>
    <w:p>
      <w:pPr>
        <w:jc w:val="both"/>
        <w:pStyle w:val="Normal"/>
      </w:pPr>
      <w:r>
        <w:rPr>
          <w:rFonts w:hAnsi="Times New Roman" w:cs="Times New Roman"/>
        </w:rPr>
        <w:t xml:space="preserve">U okviru T754040 ukupno je planirano za 2026. godinu 322.700 eura, za 2027. godinu 278.897 eura te za 2028. godinu 76.900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sudjelovanja na izvršnim odborima željezničkih teretnih koridora i forumima koridora osnovne mreže</w:t>
            </w:r>
          </w:p>
        </w:tc>
        <w:tc>
          <w:tcPr>
            <w:tcW w:w="2245.32" w:type="dxa"/>
            <w:vAlign w:val="center"/>
          </w:tcPr>
          <w:p>
            <w:pPr>
              <w:jc w:val="both"/>
              <w:pStyle w:val="CellColumn"/>
            </w:pPr>
            <w:r>
              <w:rPr>
                <w:rFonts w:hAnsi="Times New Roman" w:cs="Times New Roman"/>
              </w:rPr>
              <w:t xml:space="preserve">Sudjelovanje na službenim sastancima izvršnih odbora željezničkih teretnih koridora i forumima koridora osnovne mreže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Interna evidencija MMPI; Službeni zapisnici s izvršnih odbora i foruma</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30</w:t>
            </w:r>
          </w:p>
        </w:tc>
      </w:tr>
      <w:tr>
        <w:trPr>
          <w:cantSplit/>
        </w:trPr>
        <w:tc>
          <w:tcPr>
            <w:tcW w:w="2245.32" w:type="dxa"/>
            <w:vAlign w:val="center"/>
          </w:tcPr>
          <w:p>
            <w:pPr>
              <w:jc w:val="both"/>
              <w:pStyle w:val="CellColumn"/>
            </w:pPr>
            <w:r>
              <w:rPr>
                <w:rFonts w:hAnsi="Times New Roman" w:cs="Times New Roman"/>
              </w:rPr>
              <w:t xml:space="preserve">Izrađen sustav za razmjenu podataka sa TENtec sustavom</w:t>
            </w:r>
          </w:p>
        </w:tc>
        <w:tc>
          <w:tcPr>
            <w:tcW w:w="2245.32" w:type="dxa"/>
            <w:vAlign w:val="center"/>
          </w:tcPr>
          <w:p>
            <w:pPr>
              <w:jc w:val="both"/>
              <w:pStyle w:val="CellColumn"/>
            </w:pPr>
            <w:r>
              <w:rPr>
                <w:rFonts w:hAnsi="Times New Roman" w:cs="Times New Roman"/>
              </w:rPr>
              <w:t xml:space="preserve">Izrađen i uspostavljen sustav za razmjenu podataka između upravitelja infrastrukture i EU centralnog sustava TENtec</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Izvješće o primopredaki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T754041 OP KONKURENTNOST I KOHEZIJA, SPECIFIČNI CILJ 2A1 RAZVOJ INFRASTRUKTURE ŠIROKOPOJASNE MREŽE SLJEDEĆE GENERACIJE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Strategija Europa 2020 (ožujak 2010.) i Digitalna agenda za Europu do 2020.  
</w:t>
      </w:r>
    </w:p>
    <w:p>
      <w:pPr>
        <w:jc w:val="both"/>
        <w:pStyle w:val="Normal5"/>
      </w:pPr>
      <w:r>
        <w:rPr>
          <w:rFonts w:hAnsi="Times New Roman" w:cs="Times New Roman"/>
        </w:rPr>
        <w:t xml:space="preserve">-	Sporazum o partnerstvu između RH i EK za korištenje EU strukturnih i investicijskih fondova za rast i radna mjesta u razdoblju 2014.-2020.  
</w:t>
      </w:r>
    </w:p>
    <w:p>
      <w:pPr>
        <w:jc w:val="both"/>
        <w:pStyle w:val="Normal5"/>
      </w:pPr>
      <w:r>
        <w:rPr>
          <w:rFonts w:hAnsi="Times New Roman" w:cs="Times New Roman"/>
        </w:rPr>
        <w:t xml:space="preserve">-	Operativni program „Konkurentnost i kohezija 2014.-2020.“, izmjena odobrena od strane EK 16. prosinca 2022. godine  
</w:t>
      </w:r>
    </w:p>
    <w:p>
      <w:pPr>
        <w:jc w:val="both"/>
        <w:pStyle w:val="Normal5"/>
      </w:pPr>
      <w:r>
        <w:rPr>
          <w:rFonts w:hAnsi="Times New Roman" w:cs="Times New Roman"/>
        </w:rPr>
        <w:t xml:space="preserve">-	Zakon o uspostavi institucionalnog okvira za provedbu ESI fondova u RH u financijskom razdoblju 2014.-2020.  
</w:t>
      </w:r>
    </w:p>
    <w:p>
      <w:pPr>
        <w:jc w:val="both"/>
        <w:pStyle w:val="Normal5"/>
      </w:pPr>
      <w:r>
        <w:rPr>
          <w:rFonts w:hAnsi="Times New Roman" w:cs="Times New Roman"/>
        </w:rPr>
        <w:t xml:space="preserve">-	Uredba o tijelima u sustavima upravljanja i kontrole korištenja ESF, EFRR i KF, u vezi s ciljem „Ulaganje za rast i radna mjesta“ 
</w:t>
      </w:r>
    </w:p>
    <w:p>
      <w:pPr>
        <w:jc w:val="both"/>
        <w:pStyle w:val="Normal5"/>
      </w:pPr>
      <w:r>
        <w:rPr>
          <w:rFonts w:hAnsi="Times New Roman" w:cs="Times New Roman"/>
        </w:rPr>
        <w:t xml:space="preserve">-	Sporazum o utvrđivanju uvjeta za dodjelu javnih sredstava u okviru Prioritetne osi 2 „Korištenje informacijske i komunikacijske tehnologije“, Specifičnog cilja 2a1 „Razvoj infrastrukture širokopojasne mreže sljedeće generacije u području bez infrastrukture širokopojasne mreže sljedeće generacije i bez dovoljnog komercijalnog interesa, za maksimalno povećanje socijalne i ekonomske dobrobiti“ Operativnog programa „Konkurentnost i kohezija“ u financijskom razdoblju 2014. – 2020. (dalje: Sporazum)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T754041-OP KONKURENTNOST I KOHEZIJA, SPECIFIČNI CILJ 2A1 RAZVOJ INFRASTRUKTURE ŠIROKOPOJASNE MREŽE SLJEDEĆE GENERACIJE</w:t>
            </w:r>
          </w:p>
        </w:tc>
        <w:tc>
          <w:tcPr>
            <w:tcW w:w="1632.96" w:type="dxa"/>
            <w:vAlign w:val="center"/>
          </w:tcPr>
          <w:p>
            <w:pPr>
              <w:jc w:val="both"/>
              <w:pStyle w:val="CellColumn"/>
            </w:pPr>
            <w:r>
              <w:rPr>
                <w:rFonts w:hAnsi="Times New Roman" w:cs="Times New Roman"/>
              </w:rPr>
              <w:t xml:space="preserve">27.553.306</w:t>
            </w:r>
          </w:p>
        </w:tc>
        <w:tc>
          <w:tcPr>
            <w:tcW w:w="1632.96" w:type="dxa"/>
            <w:vAlign w:val="center"/>
          </w:tcPr>
          <w:p>
            <w:pPr>
              <w:jc w:val="both"/>
              <w:pStyle w:val="CellColumn"/>
            </w:pPr>
            <w:r>
              <w:rPr>
                <w:rFonts w:hAnsi="Times New Roman" w:cs="Times New Roman"/>
              </w:rPr>
              <w:t xml:space="preserve">800</w:t>
            </w:r>
          </w:p>
        </w:tc>
        <w:tc>
          <w:tcPr>
            <w:tcW w:w="1632.96" w:type="dxa"/>
            <w:vAlign w:val="center"/>
          </w:tcPr>
          <w:p>
            <w:pPr>
              <w:jc w:val="both"/>
              <w:pStyle w:val="CellColumn"/>
            </w:pPr>
            <w:r>
              <w:rPr>
                <w:rFonts w:hAnsi="Times New Roman" w:cs="Times New Roman"/>
              </w:rPr>
              <w:t xml:space="preserve">800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Tekući projekt T754041 OP Konkurentnost i kohezija, specifični cilj 2a1 Razvoj infrastrukture širokopojasne mreže sljedeće generacije (dalje: T754041) ima za cilj postizanje ujednačenog pokrivanja hrvatskog teritorija brzim i ultra-brzim širokopojasnim pristupom internetu, sukladno ciljevima Digitalne agende za Europu (smanjenje digitalnog jaza). Isto se planira postići financiranjem sljedeća dva podprojekta:  
</w:t>
      </w:r>
    </w:p>
    <w:p>
      <w:pPr>
        <w:jc w:val="both"/>
        <w:pStyle w:val="Normal"/>
      </w:pPr>
      <w:r>
        <w:rPr>
          <w:rFonts w:hAnsi="Times New Roman" w:cs="Times New Roman"/>
        </w:rPr>
        <w:t xml:space="preserve">-	„Izgradnja širokopojasne agregacijske infrastrukture mreža nove generacije (NGN) u područjima u kojima ne postoji dostatan komercijalni interes za ulaganja“ i  
</w:t>
      </w:r>
    </w:p>
    <w:p>
      <w:pPr>
        <w:jc w:val="both"/>
        <w:pStyle w:val="Normal"/>
      </w:pPr>
      <w:r>
        <w:rPr>
          <w:rFonts w:hAnsi="Times New Roman" w:cs="Times New Roman"/>
        </w:rPr>
        <w:t xml:space="preserve">-	„Izgradnja mreža sljedeće generacije (NGN)/pristupnih mreža sljedeće generacije (NGA) u NGA bijelim područjima“.  
</w:t>
      </w:r>
    </w:p>
    <w:p>
      <w:pPr>
        <w:jc w:val="both"/>
        <w:pStyle w:val="Normal"/>
      </w:pPr>
      <w:r>
        <w:rPr>
          <w:rFonts w:hAnsi="Times New Roman" w:cs="Times New Roman"/>
        </w:rPr>
        <w:t xml:space="preserve">Planirano razdoblje provedbe ugovorenih projekata, odnosno razdoblje prihvatljivosti troškova trajalo je do kraja 2023., a 2024. bila je zadnja godina financiranja iz OPKK od strane sektorski nadležnog tijela. Planirana sredstva za 2026. u iznosu od 800 eura odnose se na otvorena konta planirana u slučaju povrata ili isplata eventualno naknadno utvrđenih ispravaka/odobrenja temeljem nalaza revizija/traženja korisnika.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izvršenih isplata korisniku prije krajnjeg roka za plaćanje</w:t>
            </w:r>
          </w:p>
        </w:tc>
        <w:tc>
          <w:tcPr>
            <w:tcW w:w="2245.32" w:type="dxa"/>
            <w:vAlign w:val="center"/>
          </w:tcPr>
          <w:p>
            <w:pPr>
              <w:jc w:val="both"/>
              <w:pStyle w:val="CellColumn"/>
            </w:pPr>
            <w:r>
              <w:rPr>
                <w:rFonts w:hAnsi="Times New Roman" w:cs="Times New Roman"/>
              </w:rPr>
              <w:t xml:space="preserve">Udio izvršenih isplata korisniku prije krajnjeg roka za plaćanje u ukupnom broju izvršenih isplata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95</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95</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T820077 PROMET I KOMUNIKACIJE-NPOO-C.1.4. (C.7.1.), C2.3.R.4.</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Uredba (EU) 2021/241 Europskog Parlamenta i Vijeća od 12. veljače 2021. godine o uspostavi Mehanizma za oporavak i otpornost Odluka o sustavu upravljanja i praćenja provedbe aktivnosti u okviru Nacionalnog plana oporavka i otpornosti 2021. – 2026. 
</w:t>
      </w:r>
    </w:p>
    <w:p>
      <w:pPr>
        <w:jc w:val="both"/>
        <w:pStyle w:val="Normal5"/>
      </w:pPr>
      <w:r>
        <w:rPr>
          <w:rFonts w:hAnsi="Times New Roman" w:cs="Times New Roman"/>
        </w:rPr>
        <w:t xml:space="preserve">-	Nacionalna razvojna strategija Republike Hrvatske do 2030. godine
</w:t>
      </w:r>
    </w:p>
    <w:p>
      <w:pPr>
        <w:jc w:val="both"/>
        <w:pStyle w:val="Normal5"/>
      </w:pPr>
      <w:r>
        <w:rPr>
          <w:rFonts w:hAnsi="Times New Roman" w:cs="Times New Roman"/>
        </w:rPr>
        <w:t xml:space="preserve">-	Nacionalni plan oporavka i otpornosti 2021.-2026., srpanj 2021.
</w:t>
      </w:r>
    </w:p>
    <w:p>
      <w:pPr>
        <w:jc w:val="both"/>
        <w:pStyle w:val="Normal5"/>
      </w:pPr>
      <w:r>
        <w:rPr>
          <w:rFonts w:hAnsi="Times New Roman" w:cs="Times New Roman"/>
        </w:rPr>
        <w:t xml:space="preserve">-	Dodatak Nacionalnom planu oporavka i otpornosti 2021.-2026., studeni 2023.
</w:t>
      </w:r>
    </w:p>
    <w:p>
      <w:pPr>
        <w:jc w:val="both"/>
        <w:pStyle w:val="Normal5"/>
      </w:pPr>
      <w:r>
        <w:rPr>
          <w:rFonts w:hAnsi="Times New Roman" w:cs="Times New Roman"/>
        </w:rPr>
        <w:t xml:space="preserve">-	Sporazum o delegiranim poslovima između Tijela državne uprave nadležnih za komponentu/podkomponentu Nacionalnog plana oporavka i otpornosti i Provedbenih tijela od 17. svibnja 2022.</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T820077-PROMET I KOMUNIKACIJE-NPOO-C.1.4. (C.7.1.), C2.3.R.4.</w:t>
            </w:r>
          </w:p>
        </w:tc>
        <w:tc>
          <w:tcPr>
            <w:tcW w:w="1632.96" w:type="dxa"/>
            <w:vAlign w:val="center"/>
          </w:tcPr>
          <w:p>
            <w:pPr>
              <w:jc w:val="both"/>
              <w:pStyle w:val="CellColumn"/>
            </w:pPr>
            <w:r>
              <w:rPr>
                <w:rFonts w:hAnsi="Times New Roman" w:cs="Times New Roman"/>
              </w:rPr>
              <w:t xml:space="preserve">35.266.550</w:t>
            </w:r>
          </w:p>
        </w:tc>
        <w:tc>
          <w:tcPr>
            <w:tcW w:w="1632.96" w:type="dxa"/>
            <w:vAlign w:val="center"/>
          </w:tcPr>
          <w:p>
            <w:pPr>
              <w:jc w:val="both"/>
              <w:pStyle w:val="CellColumn"/>
            </w:pPr>
            <w:r>
              <w:rPr>
                <w:rFonts w:hAnsi="Times New Roman" w:cs="Times New Roman"/>
              </w:rPr>
              <w:t xml:space="preserve">50.033.538</w:t>
            </w:r>
          </w:p>
        </w:tc>
        <w:tc>
          <w:tcPr>
            <w:tcW w:w="1632.96" w:type="dxa"/>
            <w:vAlign w:val="center"/>
          </w:tcPr>
          <w:p>
            <w:pPr>
              <w:jc w:val="both"/>
              <w:pStyle w:val="CellColumn"/>
            </w:pPr>
            <w:r>
              <w:rPr>
                <w:rFonts w:hAnsi="Times New Roman" w:cs="Times New Roman"/>
              </w:rPr>
              <w:t xml:space="preserve">169.334.129</w:t>
            </w:r>
          </w:p>
        </w:tc>
        <w:tc>
          <w:tcPr>
            <w:tcW w:w="1632.96" w:type="dxa"/>
            <w:vAlign w:val="center"/>
          </w:tcPr>
          <w:p>
            <w:pPr>
              <w:jc w:val="both"/>
              <w:pStyle w:val="CellColumn"/>
            </w:pPr>
            <w:r>
              <w:rPr>
                <w:rFonts w:hAnsi="Times New Roman" w:cs="Times New Roman"/>
              </w:rPr>
              <w:t xml:space="preserve">145.249.500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338,4</w:t>
            </w:r>
          </w:p>
        </w:tc>
      </w:tr>
    </w:tbl>
    <w:p>
      <w:pPr>
        <w:jc w:val="left"/>
      </w:pPr>
      <w:r>
        <w:rPr>
          <w:rFonts w:hAnsi="Times New Roman" w:cs="Times New Roman"/>
        </w:rPr>
        <w:t xml:space="preserve"/>
      </w:r>
    </w:p>
    <w:p>
      <w:pPr>
        <w:jc w:val="both"/>
        <w:pStyle w:val="Normal"/>
      </w:pPr>
      <w:r>
        <w:rPr>
          <w:rFonts w:hAnsi="Times New Roman" w:cs="Times New Roman"/>
        </w:rPr>
        <w:t xml:space="preserve">Europska komisija je krajem svibnja 2020. godine, slijedom COVID-19  pandemije,  predstavila vrlo sveobuhvatan paket u kojem je povezala budući višegodišnji financijski okvir (VFO) 2021.-2027. s posebnom pažnjom na oporavku u okviru instrumenta „EU sljedeće generacije“ (eng. Next Generation EU - NGEU). Jedan od pojedinačnih programa u okviru EU sljedeće generacije je Mehanizam za oporavak i otpornost (eng. Recovery and Resilience Facility – RRF) u sklopu kojeg države članice pripremaju nacionalne planove za oporavak i otpornost kojima se utvrđuje plan reformi i ulaganja dotične države članice. U studenom 2023. donesen je Dodatak Nacionalnom planu oporavka i otpornosti 2021.-2026. kojim su radi jačanja energetske neovisnosti Hrvatskoj, kroz REPowerEU i iz Rezerve za prilagodbu Brexitu, stavljena na raspolaganje dodatna bespovratna sredstva. 
</w:t>
      </w:r>
    </w:p>
    <w:p>
      <w:pPr>
        <w:jc w:val="both"/>
        <w:pStyle w:val="Normal"/>
      </w:pPr>
      <w:r>
        <w:rPr>
          <w:rFonts w:hAnsi="Times New Roman" w:cs="Times New Roman"/>
        </w:rPr>
        <w:t xml:space="preserve">NPOO funkcionira kao paket reformskih i investicijskih mjera čija vrijednost prema Dodatku Nacionalnom planu oporavka i otpornosti 2021.-2026. u slučaju prometa iznosi  892,12 milijuna eura (reforma cestovnog sektora, reforma željezničkog sektora, reforma pomorstva i unutarnje plovidbe, reforma Unaprjeđenje sustava javnog prijevoza, reforma Ekologizacija prometa), a u slučaju digitalne povezivosti 125,73 milijuna eura (reforma Jačanje povezivosti kao osnove digitalne tranzicije društva i gospodarstva). 
</w:t>
      </w:r>
    </w:p>
    <w:p>
      <w:pPr>
        <w:jc w:val="both"/>
        <w:pStyle w:val="Normal"/>
      </w:pPr>
      <w:r>
        <w:rPr>
          <w:rFonts w:hAnsi="Times New Roman" w:cs="Times New Roman"/>
        </w:rPr>
        <w:t xml:space="preserve">U okviru NPOO potpisano je 46 ugovora ukupne vrijednosti bespovratnih sredstava 443,92 milijuna  eura, od čega je raskinuto 17, a završeno  je 5 projekata. Korisnicima je od početka provedbe NPOO do sada isplaćeno 195,26 milijuna eura, što predstavlja 19% od ukupne alokacije. Sukladno Dodatku NPOO, korisnici su u obvezi ostvariti projektne pokazatelje do lipnja odnosno do kolovoza 2026., slijedom čega se očekuju veće isplate u 2027. odnosno nakon dovršetka svih kontrolnih aktivnosti od strane Provedbenog tijela.
</w:t>
      </w:r>
    </w:p>
    <w:p>
      <w:pPr>
        <w:jc w:val="both"/>
        <w:pStyle w:val="Normal"/>
      </w:pPr>
      <w:r>
        <w:rPr>
          <w:rFonts w:hAnsi="Times New Roman" w:cs="Times New Roman"/>
        </w:rPr>
        <w:t xml:space="preserve">U okviru plana proračuna za 2026.-2028., za relevantne mjere iz NPOO-a ukupno je planirano za 2026. godinu 169.334.129 eura, te za 2027. godinu 145.249.500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izvršenih isplata korisniku prije krajnjeg roka za plaćanje</w:t>
            </w:r>
          </w:p>
        </w:tc>
        <w:tc>
          <w:tcPr>
            <w:tcW w:w="2245.32" w:type="dxa"/>
            <w:vAlign w:val="center"/>
          </w:tcPr>
          <w:p>
            <w:pPr>
              <w:jc w:val="both"/>
              <w:pStyle w:val="CellColumn"/>
            </w:pPr>
            <w:r>
              <w:rPr>
                <w:rFonts w:hAnsi="Times New Roman" w:cs="Times New Roman"/>
              </w:rPr>
              <w:t xml:space="preserve">Udio izvršenih isplata korisniku prije krajnjeg roka za plaćanje u ukupnom broju izvršenih isplata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74</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74</w:t>
            </w:r>
          </w:p>
        </w:tc>
        <w:tc>
          <w:tcPr>
            <w:tcW w:w="918.54" w:type="dxa"/>
            <w:vAlign w:val="center"/>
          </w:tcPr>
          <w:p>
            <w:pPr>
              <w:jc w:val="both"/>
              <w:pStyle w:val="CellColumn"/>
            </w:pPr>
            <w:r>
              <w:rPr>
                <w:rFonts w:hAnsi="Times New Roman" w:cs="Times New Roman"/>
              </w:rPr>
              <w:t xml:space="preserve">75</w:t>
            </w:r>
          </w:p>
        </w:tc>
        <w:tc>
          <w:tcPr>
            <w:tcW w:w="918.54" w:type="dxa"/>
            <w:vAlign w:val="center"/>
          </w:tcPr>
          <w:p>
            <w:pPr>
              <w:jc w:val="both"/>
              <w:pStyle w:val="CellColumn"/>
            </w:pPr>
            <w:r>
              <w:rPr>
                <w:rFonts w:hAnsi="Times New Roman" w:cs="Times New Roman"/>
              </w:rPr>
              <w:t xml:space="preserve">76</w:t>
            </w:r>
          </w:p>
        </w:tc>
      </w:tr>
    </w:tbl>
    <w:p>
      <w:pPr>
        <w:jc w:val="left"/>
      </w:pPr>
      <w:r>
        <w:rPr>
          <w:rFonts w:hAnsi="Times New Roman" w:cs="Times New Roman"/>
        </w:rPr>
        <w:t xml:space="preserve"/>
      </w:r>
    </w:p>
    <w:p>
      <w:pPr>
        <w:jc w:val="left"/>
        <w:pStyle w:val="Heading4"/>
      </w:pPr>
      <w:r>
        <w:rPr>
          <w:rFonts w:hAnsi="Times New Roman" w:cs="Times New Roman"/>
        </w:rPr>
        <w:t xml:space="preserve">T820079 PROGRAM KONKURENTNOST I KOHEZIJA 2021.-2027.</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o tijelima u Sustavu upravljanja i kontrole za provedbu programa iz područja konkurentnosti i kohezije za financijsko razdoblje 2021. – 2027. (dalje: Uredba)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Program Konkurentnost i kohezija 2021.-2027., odobren od strane EK 9. studenoga 2022. godine 
</w:t>
      </w:r>
    </w:p>
    <w:p>
      <w:pPr>
        <w:jc w:val="both"/>
        <w:pStyle w:val="Normal5"/>
      </w:pPr>
      <w:r>
        <w:rPr>
          <w:rFonts w:hAnsi="Times New Roman" w:cs="Times New Roman"/>
        </w:rPr>
        <w:t xml:space="preserve">- Sporazum o obavljanju delegiranih funkcija u okviru Programa Konkurentnost i kohezija 2021. – 2027., siječanj 2024. 
</w:t>
      </w:r>
    </w:p>
    <w:p>
      <w:pPr>
        <w:jc w:val="both"/>
        <w:pStyle w:val="Normal5"/>
      </w:pPr>
      <w:r>
        <w:rPr>
          <w:rFonts w:hAnsi="Times New Roman" w:cs="Times New Roman"/>
        </w:rPr>
        <w:t xml:space="preserve">- Sporazum o korištenju bespovratnih sredstava tehničke pomoći Programa Konkurentnost i kohezije 2021.-2027., rujan 2024.
</w:t>
      </w:r>
    </w:p>
    <w:p>
      <w:pPr>
        <w:jc w:val="both"/>
        <w:pStyle w:val="Normal5"/>
      </w:pPr>
      <w:r>
        <w:rPr>
          <w:rFonts w:hAnsi="Times New Roman" w:cs="Times New Roman"/>
        </w:rPr>
        <w:t xml:space="preserve">- Sporazum o utvrđivanju uvjeta za dodjelu javnih sredstava u okviru operacija iz Programa konkurentnost i kohezija za financijsko razdoblje 2021. – 2027., te o obradi osobnih podataka, listopad 2025.</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T820079-PROGRAM KONKURENTNOST I KOHEZIJA 2021.-2027.</w:t>
            </w:r>
          </w:p>
        </w:tc>
        <w:tc>
          <w:tcPr>
            <w:tcW w:w="1632.96" w:type="dxa"/>
            <w:vAlign w:val="center"/>
          </w:tcPr>
          <w:p>
            <w:pPr>
              <w:jc w:val="both"/>
              <w:pStyle w:val="CellColumn"/>
            </w:pPr>
            <w:r>
              <w:rPr>
                <w:rFonts w:hAnsi="Times New Roman" w:cs="Times New Roman"/>
              </w:rPr>
              <w:t xml:space="preserve">40.192.219</w:t>
            </w:r>
          </w:p>
        </w:tc>
        <w:tc>
          <w:tcPr>
            <w:tcW w:w="1632.96" w:type="dxa"/>
            <w:vAlign w:val="center"/>
          </w:tcPr>
          <w:p>
            <w:pPr>
              <w:jc w:val="both"/>
              <w:pStyle w:val="CellColumn"/>
            </w:pPr>
            <w:r>
              <w:rPr>
                <w:rFonts w:hAnsi="Times New Roman" w:cs="Times New Roman"/>
              </w:rPr>
              <w:t xml:space="preserve">88.526.615</w:t>
            </w:r>
          </w:p>
        </w:tc>
        <w:tc>
          <w:tcPr>
            <w:tcW w:w="1632.96" w:type="dxa"/>
            <w:vAlign w:val="center"/>
          </w:tcPr>
          <w:p>
            <w:pPr>
              <w:jc w:val="both"/>
              <w:pStyle w:val="CellColumn"/>
            </w:pPr>
            <w:r>
              <w:rPr>
                <w:rFonts w:hAnsi="Times New Roman" w:cs="Times New Roman"/>
              </w:rPr>
              <w:t xml:space="preserve">220.272.975</w:t>
            </w:r>
          </w:p>
        </w:tc>
        <w:tc>
          <w:tcPr>
            <w:tcW w:w="1632.96" w:type="dxa"/>
            <w:vAlign w:val="center"/>
          </w:tcPr>
          <w:p>
            <w:pPr>
              <w:jc w:val="both"/>
              <w:pStyle w:val="CellColumn"/>
            </w:pPr>
            <w:r>
              <w:rPr>
                <w:rFonts w:hAnsi="Times New Roman" w:cs="Times New Roman"/>
              </w:rPr>
              <w:t xml:space="preserve">323.304.495</w:t>
            </w:r>
          </w:p>
        </w:tc>
        <w:tc>
          <w:tcPr>
            <w:tcW w:w="1632.96" w:type="dxa"/>
            <w:vAlign w:val="center"/>
          </w:tcPr>
          <w:p>
            <w:pPr>
              <w:jc w:val="both"/>
              <w:pStyle w:val="CellColumn"/>
            </w:pPr>
            <w:r>
              <w:rPr>
                <w:rFonts w:hAnsi="Times New Roman" w:cs="Times New Roman"/>
              </w:rPr>
              <w:t xml:space="preserve">139.411.781</w:t>
            </w:r>
          </w:p>
        </w:tc>
        <w:tc>
          <w:tcPr>
            <w:tcW w:w="510.3" w:type="dxa"/>
            <w:vAlign w:val="center"/>
          </w:tcPr>
          <w:p>
            <w:pPr>
              <w:jc w:val="both"/>
              <w:pStyle w:val="CellColumn"/>
            </w:pPr>
            <w:r>
              <w:rPr>
                <w:rFonts w:hAnsi="Times New Roman" w:cs="Times New Roman"/>
              </w:rPr>
              <w:t xml:space="preserve">248,8</w:t>
            </w:r>
          </w:p>
        </w:tc>
      </w:tr>
    </w:tbl>
    <w:p>
      <w:pPr>
        <w:jc w:val="left"/>
      </w:pPr>
      <w:r>
        <w:rPr>
          <w:rFonts w:hAnsi="Times New Roman" w:cs="Times New Roman"/>
        </w:rPr>
        <w:t xml:space="preserve"/>
      </w:r>
    </w:p>
    <w:p>
      <w:pPr>
        <w:jc w:val="both"/>
        <w:pStyle w:val="Normal"/>
      </w:pPr>
      <w:r>
        <w:rPr>
          <w:rFonts w:hAnsi="Times New Roman" w:cs="Times New Roman"/>
        </w:rPr>
        <w:t xml:space="preserve">Program Konkurentnost i kohezija 2021.-2027. (dalje: PKK) definira tri prioritetna područja, odnosno četiri specifična cilja za ulaganje u resoru prometa i digitalizacije, za koja je planiran iznos doprinosa EU-a od 1.024.776.175 eura.  
</w:t>
      </w:r>
    </w:p>
    <w:p>
      <w:pPr>
        <w:jc w:val="both"/>
        <w:pStyle w:val="Normal"/>
      </w:pPr>
      <w:r>
        <w:rPr>
          <w:rFonts w:hAnsi="Times New Roman" w:cs="Times New Roman"/>
        </w:rPr>
        <w:t xml:space="preserve">U novom financijskom razdoblju 2021.-2027. nastavit će se financirati prometna i digitalna infrastruktura sredstvima Kohezijskog fonda i Europskog fonda za regionalni razvoj, s razdobljem prihvatljivosti troškova do kraja 2029., a 2030. je zadnja godina financiranja iz PKK. 
</w:t>
      </w:r>
    </w:p>
    <w:p>
      <w:pPr>
        <w:jc w:val="both"/>
        <w:pStyle w:val="Normal"/>
      </w:pPr>
      <w:r>
        <w:rPr>
          <w:rFonts w:hAnsi="Times New Roman" w:cs="Times New Roman"/>
        </w:rPr>
        <w:t xml:space="preserve">Sukladno odredbama Uredbe, Ministarstvo mora, prometa i infrastrukture djeluje u svojstvu Posredničkog tijela razine 1 za relevantne specifične ciljeve, dok je u svojstvu Posredničkog tijela razine 2 nadležna Središnja agencija za financiranje i ugovaranje programa i projekata Europske unije.   
</w:t>
      </w:r>
    </w:p>
    <w:p>
      <w:pPr>
        <w:jc w:val="both"/>
        <w:pStyle w:val="Normal"/>
      </w:pPr>
      <w:r>
        <w:rPr>
          <w:rFonts w:hAnsi="Times New Roman" w:cs="Times New Roman"/>
        </w:rPr>
        <w:t xml:space="preserve">Za tri specifična cilja u resoru prometa planiran je ukupan iznos doprinosa EU-a od 974.776.175 eura: 
</w:t>
      </w:r>
    </w:p>
    <w:p>
      <w:pPr>
        <w:jc w:val="both"/>
        <w:pStyle w:val="Normal"/>
      </w:pPr>
      <w:r>
        <w:rPr>
          <w:rFonts w:hAnsi="Times New Roman" w:cs="Times New Roman"/>
        </w:rPr>
        <w:t xml:space="preserve">Specifični cilj „Promicanje održive multimodalne gradske mobilnosti kao dijela prijelaza na gospodarstvo s nultom neto stopom emisija ugljika“ usmjeren je na poticanje korištenja održivijih načina prijevoza u urbanim područjima, uključujući prigradske željezničke usluge u većim gradovima, autobusni, tramvajski i nemotorizirani prijevoz, u svrhu povećanja udjela energije iz obnovljivih izvora u sektoru prometa. Planiran iznos doprinosa EU-a za predmetni cilj je 179.776.174 eura, iz Europskog fonda za regionalni razvoj i Kohezijskog fonda.  
</w:t>
      </w:r>
    </w:p>
    <w:p>
      <w:pPr>
        <w:jc w:val="both"/>
        <w:pStyle w:val="Normal"/>
      </w:pPr>
      <w:r>
        <w:rPr>
          <w:rFonts w:hAnsi="Times New Roman" w:cs="Times New Roman"/>
        </w:rPr>
        <w:t xml:space="preserve">Specifični cilj „Razvoj pametne, sigurne, održive i intermodalne mreže TEN-T otporne na klimatske promjene“ usmjeren je na dovršetak izgradnje osnovne i sveobuhvatne željezničke mreže u okviru transeuropske prometne mreže, uvođenje mjera željezničke i cestovne sigurnosti na mreži TEN-T, razvoj terminala koji omogućuju prijelaz s jedne na drugu vrstu prijevoza, i izgradnju novih ili nadogradnju postojećih TEN-T cesta. Planiran iznos doprinosa EU-a za predmetni cilj je 595.090.790 eura, iz Europskog fonda za regionalni razvoj i Kohezijskog fonda.  
</w:t>
      </w:r>
    </w:p>
    <w:p>
      <w:pPr>
        <w:jc w:val="both"/>
        <w:pStyle w:val="Normal"/>
      </w:pPr>
      <w:r>
        <w:rPr>
          <w:rFonts w:hAnsi="Times New Roman" w:cs="Times New Roman"/>
        </w:rPr>
        <w:t xml:space="preserve">Specifični cilj „Razvoj i jačanje održive, pametne i intermodalne nacionalne, regionalne i lokalne mobilnosti koja je otporna na klimatske promjene, uključujući bolji pristup mreži TEN-T i prekograničnoj mobilnosti“ usmjeren je na otklanjanje negativnih učinaka prometa na okoliš ulaganjem u održive načine prijevoza, razvoj pametnog, povezanog i čistog prometnog sustava te izgradnju s time povezane infrastrukture, uvođenje mjera željezničke i cestovne sigurnosti, i izgradnju novih te nadogradnju postojećih cesta koje se koriste za pristup transeuropskoj prometnoj mreži.  Planiran iznos doprinosa EU-a za predmetni cilj je 199.909.211 eura, iz Europskog fonda za regionalni razvoj.  
</w:t>
      </w:r>
    </w:p>
    <w:p>
      <w:pPr>
        <w:jc w:val="both"/>
        <w:pStyle w:val="Normal"/>
      </w:pPr>
      <w:r>
        <w:rPr>
          <w:rFonts w:hAnsi="Times New Roman" w:cs="Times New Roman"/>
        </w:rPr>
        <w:t xml:space="preserve">Prioritetno područje „Jačanje digitalne povezivosti“ odnosno specifični cilj „Poboljšanje digitalne povezivosti“ usmjeren je na uvođenje mreža vrlo velikog kapaciteta (VHCN) na cijelom području Republike Hrvatske za sva kućanstva i javne namjene, u svrhu razvoja širokopojasnog pristupa i promicanja digitalne tranzicije. Ulaganja su planirana u područjima u kojima ne postoji dostatan komercijalni interes za ulaganja, tj. ruralnim područjima i područjima slabije gustoće naseljenosti. Njima se planira premostiti rastući jaz između pokrivenosti VHCN-om u ruralnim područjima Hrvatske i prosjeka EU-a. Planiran iznos doprinosa EU-a za predmetni cilj je 50.000.000 eura, iz Europskog fonda za regionalni razvoj.  
</w:t>
      </w:r>
    </w:p>
    <w:p>
      <w:pPr>
        <w:jc w:val="both"/>
        <w:pStyle w:val="Normal"/>
      </w:pPr>
      <w:r>
        <w:rPr>
          <w:rFonts w:hAnsi="Times New Roman" w:cs="Times New Roman"/>
        </w:rPr>
        <w:t xml:space="preserve">U okviru PKK potpisano je 32 ugovora, od čega se 14 odnosi na fazirane projekte koji su bili započeti u prethodnom programskom razdoblju u okviru OPKK. Ukupna vrijednost bespovratnih sredstava za potpisane ugovore je 682,1 milijuna eura. Korisnicima je od početka provedbe PKK do sada isplaćeno 79,5 milijuna eura sredstava. Ukupno alocirana sredstva potrebno je utrošiti do kraja 2029. te obzirom na dinamiku ugovaranja i nove projekte koji su usmjereni na EU sufinanciranje, povećana su planirana sredstva za 2027. U okviru plana proračuna za 2026.-2028., za aktivnosti PKK ukupno je planirano za 2026. godinu 220.272.975 eura, za 2027. godinu 323.304.495 eura, a za 2028. godinu  139.411.781 eura. Najznačajnije povećanje se odnosi na projekte HC i HAC koji su u provedbi i nakon ugovaranja, bit će im isplaćena planirana sredstva.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izvršenih isplata korisniku prije krajnjeg roka za plaćanje</w:t>
            </w:r>
          </w:p>
        </w:tc>
        <w:tc>
          <w:tcPr>
            <w:tcW w:w="2245.32" w:type="dxa"/>
            <w:vAlign w:val="center"/>
          </w:tcPr>
          <w:p>
            <w:pPr>
              <w:jc w:val="both"/>
              <w:pStyle w:val="CellColumn"/>
            </w:pPr>
            <w:r>
              <w:rPr>
                <w:rFonts w:hAnsi="Times New Roman" w:cs="Times New Roman"/>
              </w:rPr>
              <w:t xml:space="preserve">Udio izvršenih isplata korisniku prije krajnjeg roka za plaćanje u ukupnom broju izvršenih isplata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T821080 FOND SOLIDARNOSTI EUROPSKE UNIJE-PODRUČJE PRIJEVOZA, POŠTA I TELEKOMUNIKACIJA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Odluka Vlade Republike Hrvatske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Bjelovarsko-bilogorske županije i Koprivničko-križevačke županije, imenovanju i određivanju zaduženja nacionalnog koordinacijskog tijela, tijela odgovornih za provedbu financijskog doprinosa i neovisnog revizorskog tijela (NN 127/2021, 143/2021, 107/2022, 58/2023)
</w:t>
      </w:r>
    </w:p>
    <w:p>
      <w:pPr>
        <w:jc w:val="both"/>
        <w:pStyle w:val="Normal5"/>
      </w:pPr>
      <w:r>
        <w:rPr>
          <w:rFonts w:hAnsi="Times New Roman" w:cs="Times New Roman"/>
        </w:rPr>
        <w:t xml:space="preserve">-	Odluka Vlade Republike Hrvatske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(NN 125/2020, 79/2022, 58/2023) 
</w:t>
      </w:r>
    </w:p>
    <w:p>
      <w:pPr>
        <w:jc w:val="both"/>
        <w:pStyle w:val="Normal5"/>
      </w:pPr>
      <w:r>
        <w:rPr>
          <w:rFonts w:hAnsi="Times New Roman" w:cs="Times New Roman"/>
        </w:rPr>
        <w:t xml:space="preserve">-	Odluka Vlade Republike Hrvatske o provođenju aktivnosti vezanih za operacije koje se financiraju iz Fonda solidarnosti Europske unije iz djelokruga tijela odgovornih za provedbu financijskog doprinosa (NN 51/2022)
</w:t>
      </w:r>
    </w:p>
    <w:p>
      <w:pPr>
        <w:jc w:val="both"/>
        <w:pStyle w:val="Normal5"/>
      </w:pPr>
      <w:r>
        <w:rPr>
          <w:rFonts w:hAnsi="Times New Roman" w:cs="Times New Roman"/>
        </w:rPr>
        <w:t xml:space="preserve">-	Odluka Vlade Republike Hrvatske o nastavku financiranja projekata započetih iz Fonda solidarnosti Europske unije iz sredstava državnog proračuna Republike Hrvatske od 28. lipnja 2023.
</w:t>
      </w:r>
    </w:p>
    <w:p>
      <w:pPr>
        <w:jc w:val="both"/>
        <w:pStyle w:val="Normal5"/>
      </w:pPr>
      <w:r>
        <w:rPr>
          <w:rFonts w:hAnsi="Times New Roman" w:cs="Times New Roman"/>
        </w:rPr>
        <w:t xml:space="preserve">-	Uputa Ministarstva prostornoga uređenja, graditeljstva i državne imovine o načinu financiranja projekata započetih iz Fonda solidarnosti Europske unije od 27. srpnja 2023.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T821080-FOND SOLIDARNOSTI EUROPSKE UNIJE-PODRUČJE PRIJEVOZA, POŠTA I TELEKOMUNIKACIJA</w:t>
            </w:r>
          </w:p>
        </w:tc>
        <w:tc>
          <w:tcPr>
            <w:tcW w:w="1632.96" w:type="dxa"/>
            <w:vAlign w:val="center"/>
          </w:tcPr>
          <w:p>
            <w:pPr>
              <w:jc w:val="both"/>
              <w:pStyle w:val="CellColumn"/>
            </w:pPr>
            <w:r>
              <w:rPr>
                <w:rFonts w:hAnsi="Times New Roman" w:cs="Times New Roman"/>
              </w:rPr>
              <w:t xml:space="preserve">14.858.358</w:t>
            </w:r>
          </w:p>
        </w:tc>
        <w:tc>
          <w:tcPr>
            <w:tcW w:w="1632.96" w:type="dxa"/>
            <w:vAlign w:val="center"/>
          </w:tcPr>
          <w:p>
            <w:pPr>
              <w:jc w:val="both"/>
              <w:pStyle w:val="CellColumn"/>
            </w:pPr>
            <w:r>
              <w:rPr>
                <w:rFonts w:hAnsi="Times New Roman" w:cs="Times New Roman"/>
              </w:rPr>
              <w:t xml:space="preserve">1.712.364</w:t>
            </w:r>
          </w:p>
        </w:tc>
        <w:tc>
          <w:tcPr>
            <w:tcW w:w="1632.96" w:type="dxa"/>
            <w:vAlign w:val="center"/>
          </w:tcPr>
          <w:p>
            <w:pPr>
              <w:jc w:val="both"/>
              <w:pStyle w:val="CellColumn"/>
            </w:pPr>
            <w:r>
              <w:rPr>
                <w:rFonts w:hAnsi="Times New Roman" w:cs="Times New Roman"/>
              </w:rPr>
              <w:t xml:space="preserve">400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Temeljem prethodno navedenih Odluka Vlade Republike Hrvatske o načinu raspodjele bespovratnih financijskih sredstava iz Fonda solidarnosti Europske unije (dalje: FSEU), ovo Ministarstvo je određeno kao tijelo odgovorno za provedbu financijskih doprinosa u području prijevoza, pošte i telekomunikacija. 
</w:t>
      </w:r>
    </w:p>
    <w:p>
      <w:pPr>
        <w:jc w:val="both"/>
        <w:pStyle w:val="Normal"/>
      </w:pPr>
      <w:r>
        <w:rPr>
          <w:rFonts w:hAnsi="Times New Roman" w:cs="Times New Roman"/>
        </w:rPr>
        <w:t xml:space="preserve">Temeljem spomenutih odluka Vlade Republike Hrvatske, objavljeni su pozivi za dodjelu sredstava iz FSEU za financiranje sanacije šteta nastalih od potresa 20. ožujka te potresa 28. i 29. prosinca 2020. godine. Temeljem objavljenih poziva potpisano je ukupno 212 ugovora o dodjeli bespovratnih financijskih sredstava/Odluka o isplati ukupne vrijednosti 347,06 milijuna eura EU sredstava, od čega 68 ugovora/Odluka o isplati ukupne vrijednosti 204,61 milijuna eura EU sredstava za projekte sanacije šteta zagrebačkog potresa te 144 ugovora/Odluka o isplati ukupne vrijednosti 142,45 milijuna eura EU sredstava za projekte sanacije šteta petrinjskog potresa. 
</w:t>
      </w:r>
    </w:p>
    <w:p>
      <w:pPr>
        <w:jc w:val="both"/>
        <w:pStyle w:val="Normal"/>
      </w:pPr>
      <w:r>
        <w:rPr>
          <w:rFonts w:hAnsi="Times New Roman" w:cs="Times New Roman"/>
        </w:rPr>
        <w:t xml:space="preserve">Korisnicima je od početka provedbe FSEU do sada isplaćeno 328,27 milijuna eura EU sredstava odnosno 95% ugovorenog iznosa. Obzirom na završetak provedbe FSEU (razdoblje prihvatljivosti troškova iz FSEU je do 30. lipnja 2023.), Vlada Republike Hrvatske donijela je Odluku o nastavku financiranja projekata započetih iz Fonda solidarnosti Europske unije iz sredstava državnog proračuna Republike, a Ministarstvo prostornoga uređenja, graditeljstva i državne imovine donijelo je Uputu o načinu financiranja projekata započetih iz Fonda solidarnosti Europske unije. Navedenim dokumentima omogućen je dovršetak projekata započetih iz FSEU, kod kojih je u tijeku provođenje ugovora o izvođenju radova, odnosno omogućeno je osiguranje sredstava u onom dijelu koji je potreban za završetak projekata iznad iznosa osiguranog iz FSEU. Slijedom navedenog, u okviru plana proračuna, za 2026. godinu planirano je ukupno 400 eura koji se odnose na otvorena konta u slučaju eventualnih isplata.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izvršenih isplata korisniku prije krajnjeg roka za plaćanje</w:t>
            </w:r>
          </w:p>
        </w:tc>
        <w:tc>
          <w:tcPr>
            <w:tcW w:w="2245.32" w:type="dxa"/>
            <w:vAlign w:val="center"/>
          </w:tcPr>
          <w:p>
            <w:pPr>
              <w:jc w:val="both"/>
              <w:pStyle w:val="CellColumn"/>
            </w:pPr>
            <w:r>
              <w:rPr>
                <w:rFonts w:hAnsi="Times New Roman" w:cs="Times New Roman"/>
              </w:rPr>
              <w:t xml:space="preserve">Udio izvršenih isplata korisniku prije krajnjeg roka za plaćanje u ukupnom broju izvršenih isplata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53</w:t>
            </w:r>
          </w:p>
        </w:tc>
        <w:tc>
          <w:tcPr>
            <w:tcW w:w="918.54" w:type="dxa"/>
            <w:vAlign w:val="center"/>
          </w:tcPr>
          <w:p>
            <w:pPr>
              <w:jc w:val="both"/>
              <w:pStyle w:val="CellColumn"/>
            </w:pPr>
            <w:r>
              <w:rPr>
                <w:rFonts w:hAnsi="Times New Roman" w:cs="Times New Roman"/>
              </w:rPr>
              <w:t xml:space="preserve">Interna evidencija MMPI</w:t>
            </w:r>
          </w:p>
        </w:tc>
        <w:tc>
          <w:tcPr>
            <w:tcW w:w="918.54" w:type="dxa"/>
            <w:vAlign w:val="center"/>
          </w:tcPr>
          <w:p>
            <w:pPr>
              <w:jc w:val="both"/>
              <w:pStyle w:val="CellColumn"/>
            </w:pPr>
            <w:r>
              <w:rPr>
                <w:rFonts w:hAnsi="Times New Roman" w:cs="Times New Roman"/>
              </w:rPr>
              <w:t xml:space="preserve">53</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3"/>
      </w:pPr>
      <w:r>
        <w:rPr>
          <w:rFonts w:hAnsi="Times New Roman" w:cs="Times New Roman"/>
        </w:rPr>
        <w:t xml:space="preserve">3112 INSPEKCIJSKI NADZOR CESTOVNOG PROMETA, CESTA I ŽIČARA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3112-INSPEKCIJSKI NADZOR CESTOVNOG PROMETA, CESTA I ŽIČARA</w:t>
            </w:r>
          </w:p>
        </w:tc>
        <w:tc>
          <w:tcPr>
            <w:tcW w:w="1632.96" w:type="dxa"/>
            <w:vAlign w:val="center"/>
          </w:tcPr>
          <w:p>
            <w:pPr>
              <w:jc w:val="both"/>
              <w:pStyle w:val="CellColumn"/>
            </w:pPr>
            <w:r>
              <w:rPr>
                <w:rFonts w:hAnsi="Times New Roman" w:cs="Times New Roman"/>
              </w:rPr>
              <w:t xml:space="preserve">595.318</w:t>
            </w:r>
          </w:p>
        </w:tc>
        <w:tc>
          <w:tcPr>
            <w:tcW w:w="1632.96" w:type="dxa"/>
            <w:vAlign w:val="center"/>
          </w:tcPr>
          <w:p>
            <w:pPr>
              <w:jc w:val="both"/>
              <w:pStyle w:val="CellColumn"/>
            </w:pPr>
            <w:r>
              <w:rPr>
                <w:rFonts w:hAnsi="Times New Roman" w:cs="Times New Roman"/>
              </w:rPr>
              <w:t xml:space="preserve">1.200.075</w:t>
            </w:r>
          </w:p>
        </w:tc>
        <w:tc>
          <w:tcPr>
            <w:tcW w:w="1632.96" w:type="dxa"/>
            <w:vAlign w:val="center"/>
          </w:tcPr>
          <w:p>
            <w:pPr>
              <w:jc w:val="both"/>
              <w:pStyle w:val="CellColumn"/>
            </w:pPr>
            <w:r>
              <w:rPr>
                <w:rFonts w:hAnsi="Times New Roman" w:cs="Times New Roman"/>
              </w:rPr>
              <w:t xml:space="preserve">1.165.138</w:t>
            </w:r>
          </w:p>
        </w:tc>
        <w:tc>
          <w:tcPr>
            <w:tcW w:w="1632.96" w:type="dxa"/>
            <w:vAlign w:val="center"/>
          </w:tcPr>
          <w:p>
            <w:pPr>
              <w:jc w:val="both"/>
              <w:pStyle w:val="CellColumn"/>
            </w:pPr>
            <w:r>
              <w:rPr>
                <w:rFonts w:hAnsi="Times New Roman" w:cs="Times New Roman"/>
              </w:rPr>
              <w:t xml:space="preserve">1.034.000</w:t>
            </w:r>
          </w:p>
        </w:tc>
        <w:tc>
          <w:tcPr>
            <w:tcW w:w="1632.96" w:type="dxa"/>
            <w:vAlign w:val="center"/>
          </w:tcPr>
          <w:p>
            <w:pPr>
              <w:jc w:val="both"/>
              <w:pStyle w:val="CellColumn"/>
            </w:pPr>
            <w:r>
              <w:rPr>
                <w:rFonts w:hAnsi="Times New Roman" w:cs="Times New Roman"/>
              </w:rPr>
              <w:t xml:space="preserve">1.034.000</w:t>
            </w:r>
          </w:p>
        </w:tc>
        <w:tc>
          <w:tcPr>
            <w:tcW w:w="510.3" w:type="dxa"/>
            <w:vAlign w:val="center"/>
          </w:tcPr>
          <w:p>
            <w:pPr>
              <w:jc w:val="both"/>
              <w:pStyle w:val="CellColumn"/>
            </w:pPr>
            <w:r>
              <w:rPr>
                <w:rFonts w:hAnsi="Times New Roman" w:cs="Times New Roman"/>
              </w:rPr>
              <w:t xml:space="preserve">97,1</w:t>
            </w:r>
          </w:p>
        </w:tc>
      </w:tr>
    </w:tbl>
    <w:p>
      <w:pPr>
        <w:jc w:val="left"/>
      </w:pPr>
      <w:r>
        <w:rPr>
          <w:rFonts w:hAnsi="Times New Roman" w:cs="Times New Roman"/>
        </w:rPr>
        <w:t xml:space="preserve"/>
      </w:r>
    </w:p>
    <w:p>
      <w:pPr>
        <w:jc w:val="left"/>
        <w:pStyle w:val="Heading7"/>
      </w:pPr>
      <w:r>
        <w:rPr>
          <w:rFonts w:hAnsi="Times New Roman" w:cs="Times New Roman"/>
        </w:rPr>
        <w:t xml:space="preserve">Cilj 1. Unaprjeđenje kvalitete inspekcijskog nadzora cestovnog prometa, cesta i žičara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ostvarenih mobilnih tehničkih pregleda od ukupno planiranih mobilnih tehničkih pregleda</w:t>
            </w:r>
          </w:p>
        </w:tc>
        <w:tc>
          <w:tcPr>
            <w:tcW w:w="2245.32" w:type="dxa"/>
            <w:vAlign w:val="center"/>
          </w:tcPr>
          <w:p>
            <w:pPr>
              <w:jc w:val="both"/>
              <w:pStyle w:val="CellColumn"/>
            </w:pPr>
            <w:r>
              <w:rPr>
                <w:rFonts w:hAnsi="Times New Roman" w:cs="Times New Roman"/>
              </w:rPr>
              <w:t xml:space="preserve">Kontinuiranim provođenjem inspekcijskog nadzora teretnih vozila i autobusa znatno će se unaprijediti razina tehničke ispravnosti, a time doprinijeti zdravlju i sigurnosti mobilnih radnika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75</w:t>
            </w:r>
          </w:p>
        </w:tc>
        <w:tc>
          <w:tcPr>
            <w:tcW w:w="918.54" w:type="dxa"/>
            <w:vAlign w:val="center"/>
          </w:tcPr>
          <w:p>
            <w:pPr>
              <w:jc w:val="both"/>
              <w:pStyle w:val="CellColumn"/>
            </w:pPr>
            <w:r>
              <w:rPr>
                <w:rFonts w:hAnsi="Times New Roman" w:cs="Times New Roman"/>
              </w:rPr>
              <w:t xml:space="preserve">Ministarstvo mora, prometa i infrastrukture 
</w:t>
            </w:r>
          </w:p>
          <w:p>
            <w:pPr>
              <w:jc w:val="both"/>
              <w:pStyle w:val="CellColumn"/>
            </w:pPr>
            <w:r>
              <w:rPr>
                <w:rFonts w:hAnsi="Times New Roman" w:cs="Times New Roman"/>
              </w:rPr>
              <w:t xml:space="preserve">(Plan mobilnih tehničkih pregleda)</w:t>
            </w:r>
          </w:p>
        </w:tc>
        <w:tc>
          <w:tcPr>
            <w:tcW w:w="918.54" w:type="dxa"/>
            <w:vAlign w:val="center"/>
          </w:tcPr>
          <w:p>
            <w:pPr>
              <w:jc w:val="both"/>
              <w:pStyle w:val="CellColumn"/>
            </w:pPr>
            <w:r>
              <w:rPr>
                <w:rFonts w:hAnsi="Times New Roman" w:cs="Times New Roman"/>
              </w:rPr>
              <w:t xml:space="preserve">76</w:t>
            </w:r>
          </w:p>
        </w:tc>
        <w:tc>
          <w:tcPr>
            <w:tcW w:w="918.54" w:type="dxa"/>
            <w:vAlign w:val="center"/>
          </w:tcPr>
          <w:p>
            <w:pPr>
              <w:jc w:val="both"/>
              <w:pStyle w:val="CellColumn"/>
            </w:pPr>
            <w:r>
              <w:rPr>
                <w:rFonts w:hAnsi="Times New Roman" w:cs="Times New Roman"/>
              </w:rPr>
              <w:t xml:space="preserve">76</w:t>
            </w:r>
          </w:p>
        </w:tc>
        <w:tc>
          <w:tcPr>
            <w:tcW w:w="918.54" w:type="dxa"/>
            <w:vAlign w:val="center"/>
          </w:tcPr>
          <w:p>
            <w:pPr>
              <w:jc w:val="both"/>
              <w:pStyle w:val="CellColumn"/>
            </w:pPr>
            <w:r>
              <w:rPr>
                <w:rFonts w:hAnsi="Times New Roman" w:cs="Times New Roman"/>
              </w:rPr>
              <w:t xml:space="preserve">76</w:t>
            </w:r>
          </w:p>
        </w:tc>
      </w:tr>
    </w:tbl>
    <w:p>
      <w:pPr>
        <w:jc w:val="left"/>
      </w:pPr>
      <w:r>
        <w:rPr>
          <w:rFonts w:hAnsi="Times New Roman" w:cs="Times New Roman"/>
        </w:rPr>
        <w:t xml:space="preserve"/>
      </w:r>
    </w:p>
    <w:p>
      <w:pPr>
        <w:jc w:val="left"/>
        <w:pStyle w:val="Heading4"/>
      </w:pPr>
      <w:r>
        <w:rPr>
          <w:rFonts w:hAnsi="Times New Roman" w:cs="Times New Roman"/>
        </w:rPr>
        <w:t xml:space="preserve">K761028 RAZVOJ I UNAPRJEĐENJE SUSTAVA SIGURNOSTI I INSPEKCIJE CESTOVNOG PROMETA I CESTA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prijevozu u cestovnom prometu, članci 2. i 109. 
</w:t>
      </w:r>
    </w:p>
    <w:p>
      <w:pPr>
        <w:jc w:val="both"/>
        <w:pStyle w:val="Normal5"/>
      </w:pPr>
      <w:r>
        <w:rPr>
          <w:rFonts w:hAnsi="Times New Roman" w:cs="Times New Roman"/>
        </w:rPr>
        <w:t xml:space="preserve">- Zakon o sigurnosti prometa na cestama, članak 1.a; članak 4., članak 153., stavak 3.; članak 154., stavak 5.; članak 236. i članak 259., stavak 1. 
</w:t>
      </w:r>
    </w:p>
    <w:p>
      <w:pPr>
        <w:jc w:val="both"/>
        <w:pStyle w:val="Normal5"/>
      </w:pPr>
      <w:r>
        <w:rPr>
          <w:rFonts w:hAnsi="Times New Roman" w:cs="Times New Roman"/>
        </w:rPr>
        <w:t xml:space="preserve"> - Zakon o radnom vremenu, obveznim odmorima mobilnih radnika i uređajima za bilježenje u cestovnom prometu, članci 2., 31. i 32.; članak 33., stavci 5., 6., i 7.; članak 34., stavak 5. i članak 6. 
</w:t>
      </w:r>
    </w:p>
    <w:p>
      <w:pPr>
        <w:jc w:val="both"/>
        <w:pStyle w:val="Normal5"/>
      </w:pPr>
      <w:r>
        <w:rPr>
          <w:rFonts w:hAnsi="Times New Roman" w:cs="Times New Roman"/>
        </w:rPr>
        <w:t xml:space="preserve">- Zakon o cestama, članci 1.a i 111. 
</w:t>
      </w:r>
    </w:p>
    <w:p>
      <w:pPr>
        <w:jc w:val="both"/>
        <w:pStyle w:val="Normal5"/>
      </w:pPr>
      <w:r>
        <w:rPr>
          <w:rFonts w:hAnsi="Times New Roman" w:cs="Times New Roman"/>
        </w:rPr>
        <w:t xml:space="preserve">- Zakon o inspekciji cestovnog prometa i cesta, članci 11., 12., 34. i 37. 
</w:t>
      </w:r>
    </w:p>
    <w:p>
      <w:pPr>
        <w:jc w:val="both"/>
        <w:pStyle w:val="Normal5"/>
      </w:pPr>
      <w:r>
        <w:rPr>
          <w:rFonts w:hAnsi="Times New Roman" w:cs="Times New Roman"/>
        </w:rPr>
        <w:t xml:space="preserve">- Zakon o prijevozu opasnih tvari, članci 3., 38. i 43. 
</w:t>
      </w:r>
    </w:p>
    <w:p>
      <w:pPr>
        <w:jc w:val="both"/>
        <w:pStyle w:val="Normal5"/>
      </w:pPr>
      <w:r>
        <w:rPr>
          <w:rFonts w:hAnsi="Times New Roman" w:cs="Times New Roman"/>
        </w:rPr>
        <w:t xml:space="preserve">- ADR – Europski sporazum o međunarodnom cestovnom prijevozu opasnih tvari 
</w:t>
      </w:r>
    </w:p>
    <w:p>
      <w:pPr>
        <w:jc w:val="both"/>
        <w:pStyle w:val="Normal5"/>
      </w:pPr>
      <w:r>
        <w:rPr>
          <w:rFonts w:hAnsi="Times New Roman" w:cs="Times New Roman"/>
        </w:rPr>
        <w:t xml:space="preserve">- Zakon o žičarama, članci 2., 26. i 27.  
</w:t>
      </w:r>
    </w:p>
    <w:p>
      <w:pPr>
        <w:jc w:val="both"/>
        <w:pStyle w:val="Normal5"/>
      </w:pPr>
      <w:r>
        <w:rPr>
          <w:rFonts w:hAnsi="Times New Roman" w:cs="Times New Roman"/>
        </w:rPr>
        <w:t xml:space="preserve">- Pravilnik o obrascu iskaznice, obliku značke, opremi i službenoj odjeći inspektora cestovnog prometa i inspektora cesta, članci 17. i 18. 
</w:t>
      </w:r>
    </w:p>
    <w:p>
      <w:pPr>
        <w:jc w:val="both"/>
        <w:pStyle w:val="Normal5"/>
      </w:pPr>
      <w:r>
        <w:rPr>
          <w:rFonts w:hAnsi="Times New Roman" w:cs="Times New Roman"/>
        </w:rPr>
        <w:t xml:space="preserve">- Pravilnik o označavanju službenih vozila inspekcije cestovnog prometa i cesta, članci 4., 5., 7. i 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K761028-RAZVOJ I UNAPRJEĐENJE SUSTAVA SIGURNOSTI I INSPEKCIJE CESTOVNOG PROMETA I CESTA</w:t>
            </w:r>
          </w:p>
        </w:tc>
        <w:tc>
          <w:tcPr>
            <w:tcW w:w="1632.96" w:type="dxa"/>
            <w:vAlign w:val="center"/>
          </w:tcPr>
          <w:p>
            <w:pPr>
              <w:jc w:val="both"/>
              <w:pStyle w:val="CellColumn"/>
            </w:pPr>
            <w:r>
              <w:rPr>
                <w:rFonts w:hAnsi="Times New Roman" w:cs="Times New Roman"/>
              </w:rPr>
              <w:t xml:space="preserve">595.318</w:t>
            </w:r>
          </w:p>
        </w:tc>
        <w:tc>
          <w:tcPr>
            <w:tcW w:w="1632.96" w:type="dxa"/>
            <w:vAlign w:val="center"/>
          </w:tcPr>
          <w:p>
            <w:pPr>
              <w:jc w:val="both"/>
              <w:pStyle w:val="CellColumn"/>
            </w:pPr>
            <w:r>
              <w:rPr>
                <w:rFonts w:hAnsi="Times New Roman" w:cs="Times New Roman"/>
              </w:rPr>
              <w:t xml:space="preserve">1.200.075</w:t>
            </w:r>
          </w:p>
        </w:tc>
        <w:tc>
          <w:tcPr>
            <w:tcW w:w="1632.96" w:type="dxa"/>
            <w:vAlign w:val="center"/>
          </w:tcPr>
          <w:p>
            <w:pPr>
              <w:jc w:val="both"/>
              <w:pStyle w:val="CellColumn"/>
            </w:pPr>
            <w:r>
              <w:rPr>
                <w:rFonts w:hAnsi="Times New Roman" w:cs="Times New Roman"/>
              </w:rPr>
              <w:t xml:space="preserve">1.165.138</w:t>
            </w:r>
          </w:p>
        </w:tc>
        <w:tc>
          <w:tcPr>
            <w:tcW w:w="1632.96" w:type="dxa"/>
            <w:vAlign w:val="center"/>
          </w:tcPr>
          <w:p>
            <w:pPr>
              <w:jc w:val="both"/>
              <w:pStyle w:val="CellColumn"/>
            </w:pPr>
            <w:r>
              <w:rPr>
                <w:rFonts w:hAnsi="Times New Roman" w:cs="Times New Roman"/>
              </w:rPr>
              <w:t xml:space="preserve">1.034.000</w:t>
            </w:r>
          </w:p>
        </w:tc>
        <w:tc>
          <w:tcPr>
            <w:tcW w:w="1632.96" w:type="dxa"/>
            <w:vAlign w:val="center"/>
          </w:tcPr>
          <w:p>
            <w:pPr>
              <w:jc w:val="both"/>
              <w:pStyle w:val="CellColumn"/>
            </w:pPr>
            <w:r>
              <w:rPr>
                <w:rFonts w:hAnsi="Times New Roman" w:cs="Times New Roman"/>
              </w:rPr>
              <w:t xml:space="preserve">1.034.000</w:t>
            </w:r>
          </w:p>
        </w:tc>
        <w:tc>
          <w:tcPr>
            <w:tcW w:w="510.3" w:type="dxa"/>
            <w:vAlign w:val="center"/>
          </w:tcPr>
          <w:p>
            <w:pPr>
              <w:jc w:val="both"/>
              <w:pStyle w:val="CellColumn"/>
            </w:pPr>
            <w:r>
              <w:rPr>
                <w:rFonts w:hAnsi="Times New Roman" w:cs="Times New Roman"/>
              </w:rPr>
              <w:t xml:space="preserve">97,1</w:t>
            </w:r>
          </w:p>
        </w:tc>
      </w:tr>
    </w:tbl>
    <w:p>
      <w:pPr>
        <w:jc w:val="left"/>
      </w:pPr>
      <w:r>
        <w:rPr>
          <w:rFonts w:hAnsi="Times New Roman" w:cs="Times New Roman"/>
        </w:rPr>
        <w:t xml:space="preserve"/>
      </w:r>
    </w:p>
    <w:p>
      <w:pPr>
        <w:jc w:val="both"/>
        <w:pStyle w:val="Normal"/>
      </w:pPr>
      <w:r>
        <w:rPr>
          <w:rFonts w:hAnsi="Times New Roman" w:cs="Times New Roman"/>
        </w:rPr>
        <w:t xml:space="preserve">U skladu s Uredbom (EU) br. 165/2014 Europskog Parlamenta i Vijeća i Direktivom 2006/22/EZ Europskog Parlamenta i Vijeća, a za potrebe inspekcijskih nadzora, potrebno je kontinuirano ulagati u opremanje i modernizaciju specijalnih uređaja, opreme i IT aplikacije. Također, sve države članice EU moraju se pobrinuti da su službenici za kontrolu na odgovarajući način osposobljeni za analizu zabilježenih podataka i provjeru tahografa kako bi se uspostavile učinkovite i usklađene aktivnosti inspekcijskih nadzora. Direktivom 2006/22/EZ Europskog parlamenta i Vijeća od država članica zahtijeva se provedba minimalnog broja provjera na cesti te provjera u tvrtkama. Europska Komisija je naznačila potrebu jačanja provjera i sankcija naročito za socijalno zakonodavstvo u poslovima cestovnog prijevoza i posebno na povečanju broja provjera radi poticanja sistematske razmjene podataka između država članica i radi usklađivanja poslova nadzora i poticanja osposobljavanja službenika odgovornih za provođenje zakona. U tu svrhu opremanje se provodi za nabavku opreme i uređaja, zaštitne i radne obuće i odjeće, informatičke opreme te informatičkih sustava neophodnih za rad Inspekcije. Također, bitno je istaknuti da se kroz Sporazum između MUP-a i MMPI-a, kroz Nacionalni plan sigurnosti cestovnog prometa, doznačuju sredstva s ciljem financiranja nabavke vozila, uređaja i opreme te nadogradnje i održavanja informatičkih sustava »CRIS«.</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Stupanj opremljenosti inspekcije adekvatnom opremom</w:t>
            </w:r>
          </w:p>
        </w:tc>
        <w:tc>
          <w:tcPr>
            <w:tcW w:w="2245.32" w:type="dxa"/>
            <w:vAlign w:val="center"/>
          </w:tcPr>
          <w:p>
            <w:pPr>
              <w:jc w:val="both"/>
              <w:pStyle w:val="CellColumn"/>
            </w:pPr>
            <w:r>
              <w:rPr>
                <w:rFonts w:hAnsi="Times New Roman" w:cs="Times New Roman"/>
              </w:rPr>
              <w:t xml:space="preserve">Nabava i nadogradnja adekvatne opreme te jačanje administrativnih kapaciteta omogućiti će ostvarenje godišnjeg plana ukupnog broja inspekcijskih pregleda radnih dana vozača u cestovnom prijevozu tereta i putnika, te nadzora cesta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95</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96</w:t>
            </w:r>
          </w:p>
        </w:tc>
        <w:tc>
          <w:tcPr>
            <w:tcW w:w="918.54" w:type="dxa"/>
            <w:vAlign w:val="center"/>
          </w:tcPr>
          <w:p>
            <w:pPr>
              <w:jc w:val="both"/>
              <w:pStyle w:val="CellColumn"/>
            </w:pPr>
            <w:r>
              <w:rPr>
                <w:rFonts w:hAnsi="Times New Roman" w:cs="Times New Roman"/>
              </w:rPr>
              <w:t xml:space="preserve">97</w:t>
            </w:r>
          </w:p>
        </w:tc>
        <w:tc>
          <w:tcPr>
            <w:tcW w:w="918.54" w:type="dxa"/>
            <w:vAlign w:val="center"/>
          </w:tcPr>
          <w:p>
            <w:pPr>
              <w:jc w:val="both"/>
              <w:pStyle w:val="CellColumn"/>
            </w:pPr>
            <w:r>
              <w:rPr>
                <w:rFonts w:hAnsi="Times New Roman" w:cs="Times New Roman"/>
              </w:rPr>
              <w:t xml:space="preserve">98</w:t>
            </w:r>
          </w:p>
        </w:tc>
      </w:tr>
    </w:tbl>
    <w:p>
      <w:pPr>
        <w:jc w:val="left"/>
      </w:pPr>
      <w:r>
        <w:rPr>
          <w:rFonts w:hAnsi="Times New Roman" w:cs="Times New Roman"/>
        </w:rPr>
        <w:t xml:space="preserve"/>
      </w:r>
    </w:p>
    <w:p>
      <w:pPr>
        <w:jc w:val="left"/>
        <w:pStyle w:val="Heading3"/>
      </w:pPr>
      <w:r>
        <w:rPr>
          <w:rFonts w:hAnsi="Times New Roman" w:cs="Times New Roman"/>
        </w:rPr>
        <w:t xml:space="preserve">3113 RAZVOJ SUSTAVA ZRAČNOG PROMETA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3113-RAZVOJ SUSTAVA ZRAČNOG PROMETA</w:t>
            </w:r>
          </w:p>
        </w:tc>
        <w:tc>
          <w:tcPr>
            <w:tcW w:w="1632.96" w:type="dxa"/>
            <w:vAlign w:val="center"/>
          </w:tcPr>
          <w:p>
            <w:pPr>
              <w:jc w:val="both"/>
              <w:pStyle w:val="CellColumn"/>
            </w:pPr>
            <w:r>
              <w:rPr>
                <w:rFonts w:hAnsi="Times New Roman" w:cs="Times New Roman"/>
              </w:rPr>
              <w:t xml:space="preserve">26.629.115</w:t>
            </w:r>
          </w:p>
        </w:tc>
        <w:tc>
          <w:tcPr>
            <w:tcW w:w="1632.96" w:type="dxa"/>
            <w:vAlign w:val="center"/>
          </w:tcPr>
          <w:p>
            <w:pPr>
              <w:jc w:val="both"/>
              <w:pStyle w:val="CellColumn"/>
            </w:pPr>
            <w:r>
              <w:rPr>
                <w:rFonts w:hAnsi="Times New Roman" w:cs="Times New Roman"/>
              </w:rPr>
              <w:t xml:space="preserve">75.847.854</w:t>
            </w:r>
          </w:p>
        </w:tc>
        <w:tc>
          <w:tcPr>
            <w:tcW w:w="1632.96" w:type="dxa"/>
            <w:vAlign w:val="center"/>
          </w:tcPr>
          <w:p>
            <w:pPr>
              <w:jc w:val="both"/>
              <w:pStyle w:val="CellColumn"/>
            </w:pPr>
            <w:r>
              <w:rPr>
                <w:rFonts w:hAnsi="Times New Roman" w:cs="Times New Roman"/>
              </w:rPr>
              <w:t xml:space="preserve">154.700.947</w:t>
            </w:r>
          </w:p>
        </w:tc>
        <w:tc>
          <w:tcPr>
            <w:tcW w:w="1632.96" w:type="dxa"/>
            <w:vAlign w:val="center"/>
          </w:tcPr>
          <w:p>
            <w:pPr>
              <w:jc w:val="both"/>
              <w:pStyle w:val="CellColumn"/>
            </w:pPr>
            <w:r>
              <w:rPr>
                <w:rFonts w:hAnsi="Times New Roman" w:cs="Times New Roman"/>
              </w:rPr>
              <w:t xml:space="preserve">63.559.904</w:t>
            </w:r>
          </w:p>
        </w:tc>
        <w:tc>
          <w:tcPr>
            <w:tcW w:w="1632.96" w:type="dxa"/>
            <w:vAlign w:val="center"/>
          </w:tcPr>
          <w:p>
            <w:pPr>
              <w:jc w:val="both"/>
              <w:pStyle w:val="CellColumn"/>
            </w:pPr>
            <w:r>
              <w:rPr>
                <w:rFonts w:hAnsi="Times New Roman" w:cs="Times New Roman"/>
              </w:rPr>
              <w:t xml:space="preserve">28.063.904</w:t>
            </w:r>
          </w:p>
        </w:tc>
        <w:tc>
          <w:tcPr>
            <w:tcW w:w="510.3" w:type="dxa"/>
            <w:vAlign w:val="center"/>
          </w:tcPr>
          <w:p>
            <w:pPr>
              <w:jc w:val="both"/>
              <w:pStyle w:val="CellColumn"/>
            </w:pPr>
            <w:r>
              <w:rPr>
                <w:rFonts w:hAnsi="Times New Roman" w:cs="Times New Roman"/>
              </w:rPr>
              <w:t xml:space="preserve">204,0</w:t>
            </w:r>
          </w:p>
        </w:tc>
      </w:tr>
    </w:tbl>
    <w:p>
      <w:pPr>
        <w:jc w:val="left"/>
      </w:pPr>
      <w:r>
        <w:rPr>
          <w:rFonts w:hAnsi="Times New Roman" w:cs="Times New Roman"/>
        </w:rPr>
        <w:t xml:space="preserve"/>
      </w:r>
    </w:p>
    <w:p>
      <w:pPr>
        <w:jc w:val="left"/>
        <w:pStyle w:val="Heading7"/>
      </w:pPr>
      <w:r>
        <w:rPr>
          <w:rFonts w:hAnsi="Times New Roman" w:cs="Times New Roman"/>
        </w:rPr>
        <w:t xml:space="preserve">Cilj 1. Razvijen sustav zračnog prometa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podržanih (zatvorenih) nalaza utvrđenih aerodromima od strane Hrvatske agencije za civilno zrakoplovstvo (HACZ)</w:t>
            </w:r>
          </w:p>
        </w:tc>
        <w:tc>
          <w:tcPr>
            <w:tcW w:w="2245.32" w:type="dxa"/>
            <w:vAlign w:val="center"/>
          </w:tcPr>
          <w:p>
            <w:pPr>
              <w:jc w:val="both"/>
              <w:pStyle w:val="CellColumn"/>
            </w:pPr>
            <w:r>
              <w:rPr>
                <w:rFonts w:hAnsi="Times New Roman" w:cs="Times New Roman"/>
              </w:rPr>
              <w:t xml:space="preserve">Povećanjem broja podržanih (zatvorenih) nalaza utvrđenih aerodromima od strane Hrvatske agencije za civilno zrakoplovstvo (HACZ), povećava se razina sigurnosti i zaštite civilnog zračnog prometa, prometne infrastrukture i prometne usluge.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HACZ 
</w:t>
            </w:r>
          </w:p>
          <w:p>
            <w:pPr>
              <w:jc w:val="both"/>
              <w:pStyle w:val="CellColumn"/>
            </w:pPr>
            <w:r>
              <w:rPr>
                <w:rFonts w:hAnsi="Times New Roman" w:cs="Times New Roman"/>
              </w:rPr>
              <w:t xml:space="preserve">Ministarstvo mora, prometa i infrastrukture</w:t>
            </w:r>
          </w:p>
        </w:tc>
        <w:tc>
          <w:tcPr>
            <w:tcW w:w="918.54" w:type="dxa"/>
            <w:vAlign w:val="center"/>
          </w:tcPr>
          <w:p>
            <w:pPr>
              <w:jc w:val="both"/>
              <w:pStyle w:val="CellColumn"/>
            </w:pPr>
            <w:r>
              <w:rPr>
                <w:rFonts w:hAnsi="Times New Roman" w:cs="Times New Roman"/>
              </w:rPr>
              <w:t xml:space="preserve">11</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13</w:t>
            </w:r>
          </w:p>
        </w:tc>
      </w:tr>
    </w:tbl>
    <w:p>
      <w:pPr>
        <w:jc w:val="left"/>
      </w:pPr>
      <w:r>
        <w:rPr>
          <w:rFonts w:hAnsi="Times New Roman" w:cs="Times New Roman"/>
        </w:rPr>
        <w:t xml:space="preserve"/>
      </w:r>
    </w:p>
    <w:p>
      <w:pPr>
        <w:jc w:val="left"/>
        <w:pStyle w:val="Heading4"/>
      </w:pPr>
      <w:r>
        <w:rPr>
          <w:rFonts w:hAnsi="Times New Roman" w:cs="Times New Roman"/>
        </w:rPr>
        <w:t xml:space="preserve">A570001 SURADNJA S MEĐUNARODNIM ORGANIZACIJAMA TE PROVEDBA MJERA RAZVITKA ZRAČNOG PROMETA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zračnom prometu, članak 37, 58, 95, 114  
</w:t>
      </w:r>
    </w:p>
    <w:p>
      <w:pPr>
        <w:jc w:val="both"/>
        <w:pStyle w:val="Normal5"/>
      </w:pPr>
      <w:r>
        <w:rPr>
          <w:rFonts w:hAnsi="Times New Roman" w:cs="Times New Roman"/>
        </w:rPr>
        <w:t xml:space="preserve">- Odluka o osnivanju Nacionalnog povjerenstva za upravljanje zračnim prostorom 
</w:t>
      </w:r>
    </w:p>
    <w:p>
      <w:pPr>
        <w:jc w:val="both"/>
        <w:pStyle w:val="Normal5"/>
      </w:pPr>
      <w:r>
        <w:rPr>
          <w:rFonts w:hAnsi="Times New Roman" w:cs="Times New Roman"/>
        </w:rPr>
        <w:t xml:space="preserve">- Odluka o osnivanju Nacionalnog povjerenstva za olakšice  
</w:t>
      </w:r>
    </w:p>
    <w:p>
      <w:pPr>
        <w:jc w:val="both"/>
        <w:pStyle w:val="Normal5"/>
      </w:pPr>
      <w:r>
        <w:rPr>
          <w:rFonts w:hAnsi="Times New Roman" w:cs="Times New Roman"/>
        </w:rPr>
        <w:t xml:space="preserve">- Odluka o osnivanju Povjerenstva za upravljanje sigurnošću u zračnom prometu  
</w:t>
      </w:r>
    </w:p>
    <w:p>
      <w:pPr>
        <w:jc w:val="both"/>
        <w:pStyle w:val="Normal5"/>
      </w:pPr>
      <w:r>
        <w:rPr>
          <w:rFonts w:hAnsi="Times New Roman" w:cs="Times New Roman"/>
        </w:rPr>
        <w:t xml:space="preserve">- Odluka o osnivanju Nacionalnog povjerenstva za zaštitu civilnog zračnog prometa   
</w:t>
      </w:r>
    </w:p>
    <w:p>
      <w:pPr>
        <w:jc w:val="both"/>
        <w:pStyle w:val="Normal5"/>
      </w:pPr>
      <w:r>
        <w:rPr>
          <w:rFonts w:hAnsi="Times New Roman" w:cs="Times New Roman"/>
        </w:rPr>
        <w:t xml:space="preserve">- Čikaška konvencija (Convention on International Civil Aviation), potpisana u Chicagu 1944. godine te Protokol o važnim dopunama te konvencije potpisan u Montrealu iz 1980. godine - članarina Međunarodnoj organizaciji civilnog zrakoplovstva  ICAO (International Civil Aviation Organization)  
</w:t>
      </w:r>
    </w:p>
    <w:p>
      <w:pPr>
        <w:jc w:val="both"/>
        <w:pStyle w:val="Normal5"/>
      </w:pPr>
      <w:r>
        <w:rPr>
          <w:rFonts w:hAnsi="Times New Roman" w:cs="Times New Roman"/>
        </w:rPr>
        <w:t xml:space="preserve">- Rezolucija o administrativnim i financijskim odnosima između ICAO i ECAC usvojena na 14. ECAC trijenalu kao i članak 14(2) Statuta ECAC-a - članarina Europskoj konferenciju civilnog zrakoplovstva ECAC (European Civil Aviation Conference)  
</w:t>
      </w:r>
    </w:p>
    <w:p>
      <w:pPr>
        <w:jc w:val="both"/>
        <w:pStyle w:val="Normal5"/>
      </w:pPr>
      <w:r>
        <w:rPr>
          <w:rFonts w:hAnsi="Times New Roman" w:cs="Times New Roman"/>
        </w:rPr>
        <w:t xml:space="preserve">- Memorandum o sporazumijevanju od 22. ožujka 2016. potpisan u Utrechtu kojim je Republika Hrvatska postala osma članica ABIS grupe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A570001-SURADNJA S MEĐUNARODNIM ORGANIZACIJAMA TE PROVEDBA MJERA RAZVITKA ZRAČNOG PROMETA</w:t>
            </w:r>
          </w:p>
        </w:tc>
        <w:tc>
          <w:tcPr>
            <w:tcW w:w="1632.96" w:type="dxa"/>
            <w:vAlign w:val="center"/>
          </w:tcPr>
          <w:p>
            <w:pPr>
              <w:jc w:val="both"/>
              <w:pStyle w:val="CellColumn"/>
            </w:pPr>
            <w:r>
              <w:rPr>
                <w:rFonts w:hAnsi="Times New Roman" w:cs="Times New Roman"/>
              </w:rPr>
              <w:t xml:space="preserve">996.762</w:t>
            </w:r>
          </w:p>
        </w:tc>
        <w:tc>
          <w:tcPr>
            <w:tcW w:w="1632.96" w:type="dxa"/>
            <w:vAlign w:val="center"/>
          </w:tcPr>
          <w:p>
            <w:pPr>
              <w:jc w:val="both"/>
              <w:pStyle w:val="CellColumn"/>
            </w:pPr>
            <w:r>
              <w:rPr>
                <w:rFonts w:hAnsi="Times New Roman" w:cs="Times New Roman"/>
              </w:rPr>
              <w:t xml:space="preserve">1.228.750</w:t>
            </w:r>
          </w:p>
        </w:tc>
        <w:tc>
          <w:tcPr>
            <w:tcW w:w="1632.96" w:type="dxa"/>
            <w:vAlign w:val="center"/>
          </w:tcPr>
          <w:p>
            <w:pPr>
              <w:jc w:val="both"/>
              <w:pStyle w:val="CellColumn"/>
            </w:pPr>
            <w:r>
              <w:rPr>
                <w:rFonts w:hAnsi="Times New Roman" w:cs="Times New Roman"/>
              </w:rPr>
              <w:t xml:space="preserve">2.120.750</w:t>
            </w:r>
          </w:p>
        </w:tc>
        <w:tc>
          <w:tcPr>
            <w:tcW w:w="1632.96" w:type="dxa"/>
            <w:vAlign w:val="center"/>
          </w:tcPr>
          <w:p>
            <w:pPr>
              <w:jc w:val="both"/>
              <w:pStyle w:val="CellColumn"/>
            </w:pPr>
            <w:r>
              <w:rPr>
                <w:rFonts w:hAnsi="Times New Roman" w:cs="Times New Roman"/>
              </w:rPr>
              <w:t xml:space="preserve">2.120.750</w:t>
            </w:r>
          </w:p>
        </w:tc>
        <w:tc>
          <w:tcPr>
            <w:tcW w:w="1632.96" w:type="dxa"/>
            <w:vAlign w:val="center"/>
          </w:tcPr>
          <w:p>
            <w:pPr>
              <w:jc w:val="both"/>
              <w:pStyle w:val="CellColumn"/>
            </w:pPr>
            <w:r>
              <w:rPr>
                <w:rFonts w:hAnsi="Times New Roman" w:cs="Times New Roman"/>
              </w:rPr>
              <w:t xml:space="preserve">1.374.750</w:t>
            </w:r>
          </w:p>
        </w:tc>
        <w:tc>
          <w:tcPr>
            <w:tcW w:w="510.3" w:type="dxa"/>
            <w:vAlign w:val="center"/>
          </w:tcPr>
          <w:p>
            <w:pPr>
              <w:jc w:val="both"/>
              <w:pStyle w:val="CellColumn"/>
            </w:pPr>
            <w:r>
              <w:rPr>
                <w:rFonts w:hAnsi="Times New Roman" w:cs="Times New Roman"/>
              </w:rPr>
              <w:t xml:space="preserve">172,6</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svake godine. Suradnja s međunarodnim organizacijama i provedba mjera razvitka zračnog prometa ima važnu ulogu za unapređenje i razvitak zračnog prometa u Republici Hrvatskoj, a kako bi zračni promet mogao u cijelosti iskoristiti svoje potencijale te ostvariti cilj prometne politike Republike Hrvatske, usklađene sa onima u Europskoj Uniji. Stoga je važno da zrakoplovne vlasti Republike Hrvatske sudjeluju u radu upravljačkih i radnih tijela (ICAO – Međunarodna organizacija za civilno zrakoplovstvo, ECAC – Europska konferencija za civilno zrakoplovstvo, EASA – Europska agencija za sigurnost zračnog prometa, EUROCONTROL – Europska agencija za sigurnost zračne plovidbe) kao i stručnih odbora kao što je npr. Single European Sky Committee i radnih skupina Vijeća Europske unije, te na taj način prate razvoj ključnih svjetskih i europskih projekata i strategija kao i razvoj zakonodavnog okvira u području zračnog prometa.   
</w:t>
      </w:r>
    </w:p>
    <w:p>
      <w:pPr>
        <w:jc w:val="both"/>
        <w:pStyle w:val="Normal"/>
      </w:pPr>
      <w:r>
        <w:rPr>
          <w:rFonts w:hAnsi="Times New Roman" w:cs="Times New Roman"/>
        </w:rPr>
        <w:t xml:space="preserve">Proračunska sredstva na ovoj aktivnosti u ovom planskom razdoblju, planirana su za podmirenje obveza za članarine u međunarodnim organizacijama civilnog zrakoplovstva, kojih je Republika Hrvatska punopravni član (ICAO, ECAC, ABIS), za isplatu naknade članovima za rad u 4 (četiri) nacionalna povjerenstva, za nabavu stručne literature, usluge interneta (ICAO dokumentacija - licenca), za intelektualne usluge, za nastavak provedbe projekta razvoja zrakoplovstva na Aerodromu Lučko te za nastavak podrške Vlade Republike Hrvatske na unaprjeđenju zračne prometne povezanosti grada Mostara.   
</w:t>
      </w:r>
    </w:p>
    <w:p>
      <w:pPr>
        <w:jc w:val="both"/>
        <w:pStyle w:val="Normal"/>
      </w:pPr>
      <w:r>
        <w:rPr>
          <w:rFonts w:hAnsi="Times New Roman" w:cs="Times New Roman"/>
        </w:rPr>
        <w:t xml:space="preserve">Iznos potrebnih financijskih sredstva za isplatu naknade članovima za rad u 4 (četiri) nacionalna povjerenstva u razdoblju od 2026. do 2028. godine, planiran je u skladu s odlukama Vlade Republike Hrvatske o osnivanju nacionalnih povjerenstava i broju imenovanih članova te iznosu naknade članovima za rad, koji je određen istim odlukama te koji iznosi (bruto 8.000 eura/godišnje). Potrebna sredstva za plaćanje međunarodnih članarina planirana su u skladu s iznosom obveza za međunarodne članarine iz proteklih godina (ICAO, ECAC i ABIS) te je procijenjeno da bi iznos od 106.000 eura/godišnje bio dostatan za plaćanje međunarodnih članarina i u ovom planskom razdoblju. Na temelju nastalih troškova za nabavu stručne literature, usluge interneta (ICAO dokumentacija - licenca) te za intelektualne usluge iz prethodnih godina, procjenjuje se da će iznos od 24.800 eura/godišnje biti dostatan za podmirenje istih troškova i u ovom planskom razdoblju. U razdoblju od 2026. do 2028. godine planiran je iznos od 181.950 eura/godišnje, u svrhu osiguranja sredstava za nastavak provedbe projekta razvoja zrakoplovstva na Aerodromu Lučko, koji projekt provodi ovo Ministarstvo u suradnji s Fakultetom prometnih znanosti i Ministarstvom obrane. Provedba projekta je započela u drugoj polovini 2024. godine i u fazi je projektiranja. Na ovoj aktivnosti planirana su sredstva i za nastavak podrške Vlade Republike Hrvatske na unaprjeđenju zračne prometne povezanosti grada Mostara sa svim regijama Republike Hrvatske kao i ključnim prometnim čvorištima Europske unije te je za navedenu namjenu, u razdoblju od 2026. do 2028. godine planiran iznos od 1.750.000 eura/godišnje.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sastanaka upravljačkih i radnih tijela međunarodnih organizacija nadležnih za civilno zrakoplovstvo (ICAO, ECAC, EASA, EUROCONTROL) te stručnih odbora na kojima su sudjelovali predstavnici MMPI</w:t>
            </w:r>
          </w:p>
        </w:tc>
        <w:tc>
          <w:tcPr>
            <w:tcW w:w="2245.32" w:type="dxa"/>
            <w:vAlign w:val="center"/>
          </w:tcPr>
          <w:p>
            <w:pPr>
              <w:jc w:val="both"/>
              <w:pStyle w:val="CellColumn"/>
            </w:pPr>
            <w:r>
              <w:rPr>
                <w:rFonts w:hAnsi="Times New Roman" w:cs="Times New Roman"/>
              </w:rPr>
              <w:t xml:space="preserve">Povećanjem broja sastanaka upravljačkih i radnih tijela međunarodnih organizacija nadležnih za civilno zrakoplovstvo (ICAO, ECAC, EASA, EUROCONTROL) te stručnih odbora na kojima  su sudjelovali predstavnici MMPI, postiže se unapređenje praćenja  ključnih svjetskih i europskih projekata i strategija, razvoj zakonodavnog okvira u području zračnog prometa kao i implementacija međunarodnih i pravnih obveza sukladno utvrđenim rokovima 
</w:t>
            </w:r>
          </w:p>
          <w:p>
            <w:pPr>
              <w:jc w:val="both"/>
              <w:pStyle w:val="CellColumn"/>
            </w:pPr>
            <w:r>
              <w:rPr>
                <w:rFonts w:hAnsi="Times New Roman" w:cs="Times New Roman"/>
              </w:rPr>
              <w:t xml:space="preserve">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9</w:t>
            </w:r>
          </w:p>
        </w:tc>
      </w:tr>
    </w:tbl>
    <w:p>
      <w:pPr>
        <w:jc w:val="left"/>
      </w:pPr>
      <w:r>
        <w:rPr>
          <w:rFonts w:hAnsi="Times New Roman" w:cs="Times New Roman"/>
        </w:rPr>
        <w:t xml:space="preserve"/>
      </w:r>
    </w:p>
    <w:p>
      <w:pPr>
        <w:jc w:val="left"/>
        <w:pStyle w:val="Heading4"/>
      </w:pPr>
      <w:r>
        <w:rPr>
          <w:rFonts w:hAnsi="Times New Roman" w:cs="Times New Roman"/>
        </w:rPr>
        <w:t xml:space="preserve">A570249 GORSKE SLUŽBE SPAŠAVANJA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Sporazum o dugoročnoj suradnji u provedbi programa aktivnosti traganja i spašavanja na nepristupačnim prostorima izvan gradova i javnih prometnica od 14. listopada 2003. godine, zaključen između Ministarstva i Hrvatske gorske službe spašavanja (HGSS), slijedom kojega se sklapaju godišnji ugovori.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A570249-GORSKE SLUŽBE SPAŠAVANJA</w:t>
            </w:r>
          </w:p>
        </w:tc>
        <w:tc>
          <w:tcPr>
            <w:tcW w:w="1632.96" w:type="dxa"/>
            <w:vAlign w:val="center"/>
          </w:tcPr>
          <w:p>
            <w:pPr>
              <w:jc w:val="both"/>
              <w:pStyle w:val="CellColumn"/>
            </w:pPr>
            <w:r>
              <w:rPr>
                <w:rFonts w:hAnsi="Times New Roman" w:cs="Times New Roman"/>
              </w:rPr>
              <w:t xml:space="preserve">83.247</w:t>
            </w:r>
          </w:p>
        </w:tc>
        <w:tc>
          <w:tcPr>
            <w:tcW w:w="1632.96" w:type="dxa"/>
            <w:vAlign w:val="center"/>
          </w:tcPr>
          <w:p>
            <w:pPr>
              <w:jc w:val="both"/>
              <w:pStyle w:val="CellColumn"/>
            </w:pPr>
            <w:r>
              <w:rPr>
                <w:rFonts w:hAnsi="Times New Roman" w:cs="Times New Roman"/>
              </w:rPr>
              <w:t xml:space="preserve">86.500</w:t>
            </w:r>
          </w:p>
        </w:tc>
        <w:tc>
          <w:tcPr>
            <w:tcW w:w="1632.96" w:type="dxa"/>
            <w:vAlign w:val="center"/>
          </w:tcPr>
          <w:p>
            <w:pPr>
              <w:jc w:val="both"/>
              <w:pStyle w:val="CellColumn"/>
            </w:pPr>
            <w:r>
              <w:rPr>
                <w:rFonts w:hAnsi="Times New Roman" w:cs="Times New Roman"/>
              </w:rPr>
              <w:t xml:space="preserve">86.500</w:t>
            </w:r>
          </w:p>
        </w:tc>
        <w:tc>
          <w:tcPr>
            <w:tcW w:w="1632.96" w:type="dxa"/>
            <w:vAlign w:val="center"/>
          </w:tcPr>
          <w:p>
            <w:pPr>
              <w:jc w:val="both"/>
              <w:pStyle w:val="CellColumn"/>
            </w:pPr>
            <w:r>
              <w:rPr>
                <w:rFonts w:hAnsi="Times New Roman" w:cs="Times New Roman"/>
              </w:rPr>
              <w:t xml:space="preserve">86.500</w:t>
            </w:r>
          </w:p>
        </w:tc>
        <w:tc>
          <w:tcPr>
            <w:tcW w:w="1632.96" w:type="dxa"/>
            <w:vAlign w:val="center"/>
          </w:tcPr>
          <w:p>
            <w:pPr>
              <w:jc w:val="both"/>
              <w:pStyle w:val="CellColumn"/>
            </w:pPr>
            <w:r>
              <w:rPr>
                <w:rFonts w:hAnsi="Times New Roman" w:cs="Times New Roman"/>
              </w:rPr>
              <w:t xml:space="preserve">86.500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Kroz ovu aktivnost kontinuirano se provode radnje vezane uz stvaranje uvjeta za kvalitetno traganje i spašavanje koje se provodi radi minimiziranja štetnih posljedica u slučaju incidenta te zaštite života i imovine u prometu. Hrvatska gorska služba spašavanja (HGSS) jedina je udruga u Republici Hrvatskoj koja posjeduje posebna znanja i vještine tj. udruga koja je operativno sposobna za rad na području traganja i spašavanja na nepristupačnim prostorima izvan gradova i javnih prometnica. Navedenim Sporazumom HGSS se obvezuje da će na poziv Ministarstva intervenirati u svim slučajevima kada dođe do prometne nesreće kod svih vidova prometa ili sumnje da je do nesreće došlo na nepristupačnim terenima i u situacijama kada treba primijeniti posebno znanje, vještinu i specijalnu opremu za spašavanje koju posjeduje HGSS.   
</w:t>
      </w:r>
    </w:p>
    <w:p>
      <w:pPr>
        <w:jc w:val="both"/>
        <w:pStyle w:val="Normal"/>
      </w:pPr>
      <w:r>
        <w:rPr>
          <w:rFonts w:hAnsi="Times New Roman" w:cs="Times New Roman"/>
        </w:rPr>
        <w:t xml:space="preserve">Planiranim proračunskim sredstvima podržava se dio godišnjih aktivnosti HGSS-a iz cjelovitog godišnjeg Programa aktivnosti u provedbi priprema za zadaće traganja i spašavanja na nepristupačnim prostorima te zaštite i spašavanja života, sprječavanje nesreća i unapređenja sigurnosti, a u skladu sa Sporazumom o dugoročnoj suradnji.   
</w:t>
      </w:r>
    </w:p>
    <w:p>
      <w:pPr>
        <w:jc w:val="both"/>
        <w:pStyle w:val="Normal"/>
      </w:pPr>
      <w:r>
        <w:rPr>
          <w:rFonts w:hAnsi="Times New Roman" w:cs="Times New Roman"/>
        </w:rPr>
        <w:t xml:space="preserve">Iznos financijskih sredstva potreban za provedbu ove aktivnosti u ovom planskom razdoblju iznosi 86.500 eura/godišnje.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podržanih aktivnosti HGSS-a iz cjelovitog godišnjeg programa aktivnosti u provedbi priprema za zadaće traganja i spašavanja na nepristupačnim prostorima</w:t>
            </w:r>
          </w:p>
        </w:tc>
        <w:tc>
          <w:tcPr>
            <w:tcW w:w="2245.32" w:type="dxa"/>
            <w:vAlign w:val="center"/>
          </w:tcPr>
          <w:p>
            <w:pPr>
              <w:jc w:val="both"/>
              <w:pStyle w:val="CellColumn"/>
            </w:pPr>
            <w:r>
              <w:rPr>
                <w:rFonts w:hAnsi="Times New Roman" w:cs="Times New Roman"/>
              </w:rPr>
              <w:t xml:space="preserve">Očuvanjem broja podržanih aktivnosti HGSS-a  iz cjelovitog godišnjeg programa aktivnosti u provedbi priprema za zadaće traganja i spašavanja na nepristupačnim prostorima, stvaraju se uvjeti za kvalitetno traganje i spašavanje u  prometu na nepristupačnim prostorima unutar RH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5</w:t>
            </w:r>
          </w:p>
        </w:tc>
      </w:tr>
    </w:tbl>
    <w:p>
      <w:pPr>
        <w:jc w:val="left"/>
      </w:pPr>
      <w:r>
        <w:rPr>
          <w:rFonts w:hAnsi="Times New Roman" w:cs="Times New Roman"/>
        </w:rPr>
        <w:t xml:space="preserve"/>
      </w:r>
    </w:p>
    <w:p>
      <w:pPr>
        <w:jc w:val="left"/>
        <w:pStyle w:val="Heading4"/>
      </w:pPr>
      <w:r>
        <w:rPr>
          <w:rFonts w:hAnsi="Times New Roman" w:cs="Times New Roman"/>
        </w:rPr>
        <w:t xml:space="preserve">A570333 OSIGURANJE SIGURNOSNO PROMETNIH STANDARDA U ZRAČNIM LUKAMA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zračnom prometu, članak 41a    
</w:t>
      </w:r>
    </w:p>
    <w:p>
      <w:pPr>
        <w:jc w:val="both"/>
        <w:pStyle w:val="Normal5"/>
      </w:pPr>
      <w:r>
        <w:rPr>
          <w:rFonts w:hAnsi="Times New Roman" w:cs="Times New Roman"/>
        </w:rPr>
        <w:t xml:space="preserve">- Zakon o zračnim lukama   
</w:t>
      </w:r>
    </w:p>
    <w:p>
      <w:pPr>
        <w:jc w:val="both"/>
        <w:pStyle w:val="Normal5"/>
      </w:pPr>
      <w:r>
        <w:rPr>
          <w:rFonts w:hAnsi="Times New Roman" w:cs="Times New Roman"/>
        </w:rPr>
        <w:t xml:space="preserve">- Nacionalni program sigurnosti u zračnom prometu    
</w:t>
      </w:r>
    </w:p>
    <w:p>
      <w:pPr>
        <w:jc w:val="both"/>
        <w:pStyle w:val="Normal5"/>
      </w:pPr>
      <w:r>
        <w:rPr>
          <w:rFonts w:hAnsi="Times New Roman" w:cs="Times New Roman"/>
        </w:rPr>
        <w:t xml:space="preserve">- Nacionalni program zaštite civilnog zračnog prometa, koji je Vlada Republike Hrvatske donijela na sjednici održanoj 24. svibnja 2018.    
</w:t>
      </w:r>
    </w:p>
    <w:p>
      <w:pPr>
        <w:jc w:val="both"/>
        <w:pStyle w:val="Normal5"/>
      </w:pPr>
      <w:r>
        <w:rPr>
          <w:rFonts w:hAnsi="Times New Roman" w:cs="Times New Roman"/>
        </w:rPr>
        <w:t xml:space="preserve">- Dodatak 14 Čikaškoj konvenciji (standardi sigurnosti na aerodromima) 
</w:t>
      </w:r>
    </w:p>
    <w:p>
      <w:pPr>
        <w:jc w:val="both"/>
        <w:pStyle w:val="Normal5"/>
      </w:pPr>
      <w:r>
        <w:rPr>
          <w:rFonts w:hAnsi="Times New Roman" w:cs="Times New Roman"/>
        </w:rPr>
        <w:t xml:space="preserve">- Odluka o obvezi otvorenosti Zračne luke Osijek za javni zračni promet u razdoblju od 2024. – 2028.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A570333-OSIGURANJE SIGURNOSNO PROMETNIH STANDARDA U ZRAČNIM LUKAMA RH</w:t>
            </w:r>
          </w:p>
        </w:tc>
        <w:tc>
          <w:tcPr>
            <w:tcW w:w="1632.96" w:type="dxa"/>
            <w:vAlign w:val="center"/>
          </w:tcPr>
          <w:p>
            <w:pPr>
              <w:jc w:val="both"/>
              <w:pStyle w:val="CellColumn"/>
            </w:pPr>
            <w:r>
              <w:rPr>
                <w:rFonts w:hAnsi="Times New Roman" w:cs="Times New Roman"/>
              </w:rPr>
              <w:t xml:space="preserve">5.813.583</w:t>
            </w:r>
          </w:p>
        </w:tc>
        <w:tc>
          <w:tcPr>
            <w:tcW w:w="1632.96" w:type="dxa"/>
            <w:vAlign w:val="center"/>
          </w:tcPr>
          <w:p>
            <w:pPr>
              <w:jc w:val="both"/>
              <w:pStyle w:val="CellColumn"/>
            </w:pPr>
            <w:r>
              <w:rPr>
                <w:rFonts w:hAnsi="Times New Roman" w:cs="Times New Roman"/>
              </w:rPr>
              <w:t xml:space="preserve">50.141.650</w:t>
            </w:r>
          </w:p>
        </w:tc>
        <w:tc>
          <w:tcPr>
            <w:tcW w:w="1632.96" w:type="dxa"/>
            <w:vAlign w:val="center"/>
          </w:tcPr>
          <w:p>
            <w:pPr>
              <w:jc w:val="both"/>
              <w:pStyle w:val="CellColumn"/>
            </w:pPr>
            <w:r>
              <w:rPr>
                <w:rFonts w:hAnsi="Times New Roman" w:cs="Times New Roman"/>
              </w:rPr>
              <w:t xml:space="preserve">136.647.543</w:t>
            </w:r>
          </w:p>
        </w:tc>
        <w:tc>
          <w:tcPr>
            <w:tcW w:w="1632.96" w:type="dxa"/>
            <w:vAlign w:val="center"/>
          </w:tcPr>
          <w:p>
            <w:pPr>
              <w:jc w:val="both"/>
              <w:pStyle w:val="CellColumn"/>
            </w:pPr>
            <w:r>
              <w:rPr>
                <w:rFonts w:hAnsi="Times New Roman" w:cs="Times New Roman"/>
              </w:rPr>
              <w:t xml:space="preserve">41.650.000</w:t>
            </w:r>
          </w:p>
        </w:tc>
        <w:tc>
          <w:tcPr>
            <w:tcW w:w="1632.96" w:type="dxa"/>
            <w:vAlign w:val="center"/>
          </w:tcPr>
          <w:p>
            <w:pPr>
              <w:jc w:val="both"/>
              <w:pStyle w:val="CellColumn"/>
            </w:pPr>
            <w:r>
              <w:rPr>
                <w:rFonts w:hAnsi="Times New Roman" w:cs="Times New Roman"/>
              </w:rPr>
              <w:t xml:space="preserve">6.880.000</w:t>
            </w:r>
          </w:p>
        </w:tc>
        <w:tc>
          <w:tcPr>
            <w:tcW w:w="510.3" w:type="dxa"/>
            <w:vAlign w:val="center"/>
          </w:tcPr>
          <w:p>
            <w:pPr>
              <w:jc w:val="both"/>
              <w:pStyle w:val="CellColumn"/>
            </w:pPr>
            <w:r>
              <w:rPr>
                <w:rFonts w:hAnsi="Times New Roman" w:cs="Times New Roman"/>
              </w:rPr>
              <w:t xml:space="preserve">272,5</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svake godine, budući je Republika Hrvatska, kao većinski vlasnik zračnih luka, dužna ispuniti zahtjeve za povećanim zaštitnim i sigurnosnim mjerama na svim aerodromima u zemlji, sukladno obvezama koje proizlaze iz članstva Republike Hrvatske u međunarodnim organizacijama za civilni zračni promet (ICAO, ECAC, EUROCONTROL i dr.). Mjere obuhvaćaju osiguranje nužnih tehnoloških i sigurnosno-prometnih unapređenja koje se prvenstveno odnose na osiguranje standarda sigurnosti i zaštite na aerodromima s ciljem smanjenja opasnosti i smanjenja mogućnosti nastanka nesreća u zračnom prometu.  
</w:t>
      </w:r>
    </w:p>
    <w:p>
      <w:pPr>
        <w:jc w:val="both"/>
        <w:pStyle w:val="Normal"/>
      </w:pPr>
      <w:r>
        <w:rPr>
          <w:rFonts w:hAnsi="Times New Roman" w:cs="Times New Roman"/>
        </w:rPr>
        <w:t xml:space="preserve">Sredstvima sa ove aktivnosti podržavaju se mjere (zahtjevi) aerodroma koji se odnose na nabavu sigurnosne i zaštitne opreme kao i izvođenje radova na aerodromskoj infrastrukturi koji su od važnosti za siguran prihvat zrakoplova i putnika na aerodromima. Prioritetni cilj ove aktivnosti je zatvaranju nalaza koje Hrvatska agencija za civilno zrakoplovstvo (HACZ) utvrdi aerodromima provođenjem korektivnih mjera koje se odnose na stanje sigurnosti na aerodromima, sukladno standardima sigurnosti propisanim u Dodatku 14 Čikaškoj konvenciji te nalaza koji se odnose i na ispunjenje ostalih zahtjeva za povećanim zaštitnim i sigurnosnim mjerama na aerodromima u zemlji.   
</w:t>
      </w:r>
    </w:p>
    <w:p>
      <w:pPr>
        <w:jc w:val="both"/>
        <w:pStyle w:val="Normal"/>
      </w:pPr>
      <w:r>
        <w:rPr>
          <w:rFonts w:hAnsi="Times New Roman" w:cs="Times New Roman"/>
        </w:rPr>
        <w:t xml:space="preserve">Financijska sredstva za provedbu ove aktivnosti (račun 386) za razdoblje od 2026. do 2028. godine planirana su na temelju podataka zaprimljenih od strane zračnih luka o broju (mjera) koje je nužno provesti u ovom planskom razdoblju. U planiranom razdoblju provodit će se mjere koje se odnose na infrastrukturu zračnih luka (Pula, Rijeka, Zadar, Osijek, Brač, Mali Lošinj). Budući se u 2026. godini planira i dovršetak radova na projektu rekonstrukcije putničkog terminala Zračne luke Osijek, potrebno je osigurati značajnija financijska sredstva za dovršetak navedenog projekta te je na ovoj aktivnosti u 2026. godini planiran iznos od 13.000.000 eura. Za provedbu ove aktivnosti u 2027. godini planiran je iznos od 4.000.000 eura te iznos od 4.800.000 eura u 2028. godini.  
</w:t>
      </w:r>
    </w:p>
    <w:p>
      <w:pPr>
        <w:jc w:val="both"/>
        <w:pStyle w:val="Normal"/>
      </w:pPr>
      <w:r>
        <w:rPr>
          <w:rFonts w:hAnsi="Times New Roman" w:cs="Times New Roman"/>
        </w:rPr>
        <w:t xml:space="preserve">Na istoj aktivnosti (račun 351) planiraju se i sredstva koja su namijenjena za provedbu mjere očuvanja otvorenosti aerodroma tj. obavljanje javne usluge (Services of General Economic Interest - SGEI), a koja će se u ovom planskom razdoblju primjenjivati u Zračnoj luci Osijek i Zračnoj luci Pula.   
</w:t>
      </w:r>
    </w:p>
    <w:p>
      <w:pPr>
        <w:jc w:val="both"/>
        <w:pStyle w:val="Normal"/>
      </w:pPr>
      <w:r>
        <w:rPr>
          <w:rFonts w:hAnsi="Times New Roman" w:cs="Times New Roman"/>
        </w:rPr>
        <w:t xml:space="preserve">Mjera obavljanja javne usluge (SGEI) provodila se kroz proteklo razdoblje u Zračnoj luci Osijek te se nastavlja i u ovom planskom razdoblju. Odlukom o obvezi otvorenosti Zračne luke Osijek za javni zračni promet u razdoblju od 2024. – 2028. godine za troškove obavljanja ove javne usluge odobren je iznos od 1.460.000,00 eura za 2024. godinu, iznos od 1.440.000,00 eura za 2025. godinu, iznos od 1.420.000,00 eura za 2026. godinu, iznos od 1.400.000 eura za 2027. godinu i 1.380.000 eura za 2028. godinu. U skladu s navedenom Odlukom, planirani su i iznosi za naknadu troškova Zračnoj luci Osijek u ovom planskom razdoblju. 
</w:t>
      </w:r>
    </w:p>
    <w:p>
      <w:pPr>
        <w:jc w:val="both"/>
        <w:pStyle w:val="Normal"/>
      </w:pPr>
      <w:r>
        <w:rPr>
          <w:rFonts w:hAnsi="Times New Roman" w:cs="Times New Roman"/>
        </w:rPr>
        <w:t xml:space="preserve">Ministarstvo je u skladu s člankom 41.a Zakona o zračnom prometu, u 2024. godini započelo postupak za dodjelu pojedinačne državne potpore i Zračnoj luci Pula za mjeru obavljanja javne usluge (SGEI) u razdoblju od 2025. – 2029. godine, a koji postupak je u tijeku.   
</w:t>
      </w:r>
    </w:p>
    <w:p>
      <w:pPr>
        <w:jc w:val="both"/>
        <w:pStyle w:val="Normal"/>
      </w:pPr>
      <w:r>
        <w:rPr>
          <w:rFonts w:hAnsi="Times New Roman" w:cs="Times New Roman"/>
        </w:rPr>
        <w:t xml:space="preserve">Za obavljanja ove javne usluge u razdoblju od 2025. do 2029. godine koja bi se provodila na Zračnoj luci Pula potrebno je osigurati proračunska sredstva za nadoknadu troškova Zračnoj luci Pula u razdoblju od 5 godina i to u iznosu od ne većem od 1.800.000 eura za 2025. godinu, 1.000.000 eura za 2026. godinu, 1.250.000 eura za 2027. godinu, 700.000 eura za 2028. godinu i 300.000 eura za 2029. godinu, slijedom čega su i planirani  iznosi za naknadu troškova Zračnoj luci Pula u ovom planskom razdoblju.
</w:t>
      </w:r>
    </w:p>
    <w:p>
      <w:pPr>
        <w:jc w:val="both"/>
        <w:pStyle w:val="Normal"/>
      </w:pPr>
      <w:r>
        <w:rPr>
          <w:rFonts w:hAnsi="Times New Roman" w:cs="Times New Roman"/>
        </w:rPr>
        <w:t xml:space="preserve">Na ovoj aktivnosti (račun 532) planirana su financijska sredstva namijenjena za dokapitalizaciju društva Croatia Airlines d.d. u svrhu rješavanja problema likvidnosti i oporavka kapitala i to u 2026. godini u iznosu od 121.227.543 eura te u 2027. godini u iznosu od 35.000.000 eura. Iznos od 121.227.543 eura u 2026. godini odnosi se na dokapitalizaciju u novcu u iznosu 35.000.000 eura te na pretvaranje potraživanja države po postojećim zajmovima (dva zajma data uslijed poslijedica pandemije COVID-19 bolesti u prosincu 2020. i studenom 2022. godine te zajam iz rujna 2019. za stvaranje prethodno potrebnih uvjeta osiguranja postupka dokapizalizacije u kontekstu procesa pronalaska strateškog partnera) u kapital društva.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podržanih mjera (zahtjeva) aerodroma u svrhu sigurnosti i zaštite aerodroma u RH</w:t>
            </w:r>
          </w:p>
        </w:tc>
        <w:tc>
          <w:tcPr>
            <w:tcW w:w="2245.32" w:type="dxa"/>
            <w:vAlign w:val="center"/>
          </w:tcPr>
          <w:p>
            <w:pPr>
              <w:jc w:val="both"/>
              <w:pStyle w:val="CellColumn"/>
            </w:pPr>
            <w:r>
              <w:rPr>
                <w:rFonts w:hAnsi="Times New Roman" w:cs="Times New Roman"/>
              </w:rPr>
              <w:t xml:space="preserve">Povećanjem broja podržanih mjera (zahtjeva) aerodroma postiže se povećanje sigurnosti i zaštite zračnog prometa u RH)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9</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11</w:t>
            </w:r>
          </w:p>
        </w:tc>
      </w:tr>
    </w:tbl>
    <w:p>
      <w:pPr>
        <w:jc w:val="left"/>
      </w:pPr>
      <w:r>
        <w:rPr>
          <w:rFonts w:hAnsi="Times New Roman" w:cs="Times New Roman"/>
        </w:rPr>
        <w:t xml:space="preserve"/>
      </w:r>
    </w:p>
    <w:p>
      <w:pPr>
        <w:jc w:val="left"/>
        <w:pStyle w:val="Heading4"/>
      </w:pPr>
      <w:r>
        <w:rPr>
          <w:rFonts w:hAnsi="Times New Roman" w:cs="Times New Roman"/>
        </w:rPr>
        <w:t xml:space="preserve">A587050 OČUVANJE PROMETNE POVEZANOSTI REGIJA (DOMAĆI LINIJSKI ZRAČNI PRIJEVOZ)</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zračnom prometu, članak 30, stavak l   
</w:t>
      </w:r>
    </w:p>
    <w:p>
      <w:pPr>
        <w:jc w:val="both"/>
        <w:pStyle w:val="Normal5"/>
      </w:pPr>
      <w:r>
        <w:rPr>
          <w:rFonts w:hAnsi="Times New Roman" w:cs="Times New Roman"/>
        </w:rPr>
        <w:t xml:space="preserve">- Odluka o obvezi obavljanja domaćeg linijskog zračnog prijevoza za razdoblje od 4. srpnja 2022. do 28. ožujka 2026. godine, koju je Vlada Republike Hrvatske donijela 30. travnja 2020. godine, 22. travnja 2021. godine i  9. lipnja 2022. godine  
</w:t>
      </w:r>
    </w:p>
    <w:p>
      <w:pPr>
        <w:jc w:val="both"/>
        <w:pStyle w:val="Normal5"/>
      </w:pPr>
      <w:r>
        <w:rPr>
          <w:rFonts w:hAnsi="Times New Roman" w:cs="Times New Roman"/>
        </w:rPr>
        <w:t xml:space="preserve">- Odluka o izboru ponuda za obavljanje usluge domaćeg linijskog zračnog prijevoza, koju je Ministarstvo mora, prometa i infrastrukture donijelo 21. lipnja 2022. godine   
</w:t>
      </w:r>
    </w:p>
    <w:p>
      <w:pPr>
        <w:jc w:val="both"/>
        <w:pStyle w:val="Normal5"/>
      </w:pPr>
      <w:r>
        <w:rPr>
          <w:rFonts w:hAnsi="Times New Roman" w:cs="Times New Roman"/>
        </w:rPr>
        <w:t xml:space="preserve">- Odluka o davanju suglasnosti Ministarstvu mora, prometa i infrastrukture za preuzimanje obveza na teret sredstava državnog proračuna Republike Hrvatske u razdoblju od 2022. do 2026. godine za sklapanje ugovora o obvezi obavljanja domaćeg linijskog zračnog prijevoza, koju je Vlada Republike Hrvatske donijela na sjednici održanoj 1. rujna 2022. godine  
</w:t>
      </w:r>
    </w:p>
    <w:p>
      <w:pPr>
        <w:jc w:val="both"/>
        <w:pStyle w:val="Normal5"/>
      </w:pPr>
      <w:r>
        <w:rPr>
          <w:rFonts w:hAnsi="Times New Roman" w:cs="Times New Roman"/>
        </w:rPr>
        <w:t xml:space="preserve">- Ugovor o obvezi obavljanja domaćeg linijskog zračnog prijevoza za razdoblje od 4. srpnja 2022. do 28. ožujka 2026. godine, od 7. rujna 2022. godine (sa zračnim prijevoznikom Croatia Airlines d.d.)   
</w:t>
      </w:r>
    </w:p>
    <w:p>
      <w:pPr>
        <w:jc w:val="both"/>
        <w:pStyle w:val="Normal5"/>
      </w:pPr>
      <w:r>
        <w:rPr>
          <w:rFonts w:hAnsi="Times New Roman" w:cs="Times New Roman"/>
        </w:rPr>
        <w:t xml:space="preserve">- Ugovor o obvezi obavljanja domaćeg linijskog zračnog prijevoza za razdoblje od 4. srpnja 2022. do 28. ožujka 2026. godine, od 7. rujna 2022. godine (sa zračnim prijevoznikom Trade Air d.o.o.)</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A587050-OČUVANJE PROMETNE POVEZANOSTI REGIJA (DOMAĆI LINIJSKI ZRAČNI PRIJEVOZ)</w:t>
            </w:r>
          </w:p>
        </w:tc>
        <w:tc>
          <w:tcPr>
            <w:tcW w:w="1632.96" w:type="dxa"/>
            <w:vAlign w:val="center"/>
          </w:tcPr>
          <w:p>
            <w:pPr>
              <w:jc w:val="both"/>
              <w:pStyle w:val="CellColumn"/>
            </w:pPr>
            <w:r>
              <w:rPr>
                <w:rFonts w:hAnsi="Times New Roman" w:cs="Times New Roman"/>
              </w:rPr>
              <w:t xml:space="preserve">19.137.376</w:t>
            </w:r>
          </w:p>
        </w:tc>
        <w:tc>
          <w:tcPr>
            <w:tcW w:w="1632.96" w:type="dxa"/>
            <w:vAlign w:val="center"/>
          </w:tcPr>
          <w:p>
            <w:pPr>
              <w:jc w:val="both"/>
              <w:pStyle w:val="CellColumn"/>
            </w:pPr>
            <w:r>
              <w:rPr>
                <w:rFonts w:hAnsi="Times New Roman" w:cs="Times New Roman"/>
              </w:rPr>
              <w:t xml:space="preserve">23.773.660</w:t>
            </w:r>
          </w:p>
        </w:tc>
        <w:tc>
          <w:tcPr>
            <w:tcW w:w="1632.96" w:type="dxa"/>
            <w:vAlign w:val="center"/>
          </w:tcPr>
          <w:p>
            <w:pPr>
              <w:jc w:val="both"/>
              <w:pStyle w:val="CellColumn"/>
            </w:pPr>
            <w:r>
              <w:rPr>
                <w:rFonts w:hAnsi="Times New Roman" w:cs="Times New Roman"/>
              </w:rPr>
              <w:t xml:space="preserve">15.123.660</w:t>
            </w:r>
          </w:p>
        </w:tc>
        <w:tc>
          <w:tcPr>
            <w:tcW w:w="1632.96" w:type="dxa"/>
            <w:vAlign w:val="center"/>
          </w:tcPr>
          <w:p>
            <w:pPr>
              <w:jc w:val="both"/>
              <w:pStyle w:val="CellColumn"/>
            </w:pPr>
            <w:r>
              <w:rPr>
                <w:rFonts w:hAnsi="Times New Roman" w:cs="Times New Roman"/>
              </w:rPr>
              <w:t xml:space="preserve">18.830.160</w:t>
            </w:r>
          </w:p>
        </w:tc>
        <w:tc>
          <w:tcPr>
            <w:tcW w:w="1632.96" w:type="dxa"/>
            <w:vAlign w:val="center"/>
          </w:tcPr>
          <w:p>
            <w:pPr>
              <w:jc w:val="both"/>
              <w:pStyle w:val="CellColumn"/>
            </w:pPr>
            <w:r>
              <w:rPr>
                <w:rFonts w:hAnsi="Times New Roman" w:cs="Times New Roman"/>
              </w:rPr>
              <w:t xml:space="preserve">18.850.160</w:t>
            </w:r>
          </w:p>
        </w:tc>
        <w:tc>
          <w:tcPr>
            <w:tcW w:w="510.3" w:type="dxa"/>
            <w:vAlign w:val="center"/>
          </w:tcPr>
          <w:p>
            <w:pPr>
              <w:jc w:val="both"/>
              <w:pStyle w:val="CellColumn"/>
            </w:pPr>
            <w:r>
              <w:rPr>
                <w:rFonts w:hAnsi="Times New Roman" w:cs="Times New Roman"/>
              </w:rPr>
              <w:t xml:space="preserve">63,6</w:t>
            </w:r>
          </w:p>
        </w:tc>
      </w:tr>
    </w:tbl>
    <w:p>
      <w:pPr>
        <w:jc w:val="left"/>
      </w:pPr>
      <w:r>
        <w:rPr>
          <w:rFonts w:hAnsi="Times New Roman" w:cs="Times New Roman"/>
        </w:rPr>
        <w:t xml:space="preserve"/>
      </w:r>
    </w:p>
    <w:p>
      <w:pPr>
        <w:jc w:val="both"/>
        <w:pStyle w:val="Normal"/>
      </w:pPr>
      <w:r>
        <w:rPr>
          <w:rFonts w:hAnsi="Times New Roman" w:cs="Times New Roman"/>
        </w:rPr>
        <w:t xml:space="preserve">Očuvanje zračne prometne povezanosti, ima vrlo važnu ulogu za sustav zračnog prometa, a provođenje iste je predviđeno kroz poticanje redovitog zračnog prijevoza na domaćim zračnim linijama.   
</w:t>
      </w:r>
    </w:p>
    <w:p>
      <w:pPr>
        <w:jc w:val="both"/>
        <w:pStyle w:val="Normal"/>
      </w:pPr>
      <w:r>
        <w:rPr>
          <w:rFonts w:hAnsi="Times New Roman" w:cs="Times New Roman"/>
        </w:rPr>
        <w:t xml:space="preserve">Na ovoj aktivnosti planiraju se sredstva radi financiranja naknade zračnim prijevoznicima za obavljanje prijevoza na domaćim redovitim zračnim linijama, kao javne usluge (Services of General Economic Interest - SGEI).      
</w:t>
      </w:r>
    </w:p>
    <w:p>
      <w:pPr>
        <w:jc w:val="both"/>
        <w:pStyle w:val="Normal"/>
      </w:pPr>
      <w:r>
        <w:rPr>
          <w:rFonts w:hAnsi="Times New Roman" w:cs="Times New Roman"/>
        </w:rPr>
        <w:t xml:space="preserve">Korisnici sredstava na ovoj aktivnosti su zračni prijevoznici Croatia Airlines d.d. i Trade Air d.o.o. kojima je, slijedom provedenog postupka Javnog natječaja za obavljanje redovitog zračnog prijevoza, u skladu s obvezama javnih usluga objavljenim 25. listopada 2021. godine u Službenom listu Europske unije (2021/C430/08), dodijeljeno obavljanje prijevoza na domaćim redovitim zračnim linijama, kao javne usluge (Services of General Economic Interest - SGEI).   
</w:t>
      </w:r>
    </w:p>
    <w:p>
      <w:pPr>
        <w:jc w:val="both"/>
        <w:pStyle w:val="Normal"/>
      </w:pPr>
      <w:r>
        <w:rPr>
          <w:rFonts w:hAnsi="Times New Roman" w:cs="Times New Roman"/>
        </w:rPr>
        <w:t xml:space="preserve">Financijska sredstva za provedbu ove aktivnosti planirana su na temelju sklopljenih ugovora o obvezi obavljanja domaćeg linijskog zračnog prijevoza za razdoblje od 4. srpnja 2022. do 28. ožujka 2026. godine sa zračnim prijevoznicima Croatia Airlines d.d. i Trade Air d.o.o. kao i na procjeni potrebnih sredstava za financiranje naknade zračnim prijevoznicima za obavljanje javne usluge po planiranom novom SGEI programu za razdoblje od od 29. ožujka 2026. do 28. ožujka 2030. godine. 
</w:t>
      </w:r>
    </w:p>
    <w:p>
      <w:pPr>
        <w:jc w:val="both"/>
        <w:pStyle w:val="Normal"/>
      </w:pPr>
      <w:r>
        <w:rPr>
          <w:rFonts w:hAnsi="Times New Roman" w:cs="Times New Roman"/>
        </w:rPr>
        <w:t xml:space="preserve">Iznosi financijskih sredstva za provedbu ove aktivnosti (račun 351) planirani su na temelju Ugovora o obvezi obavljanja domaćeg linijskog zračnog prijevoza za razdoblje od 4. srpnja 2022. do 28. ožujka 2026. godine, koji je sklopljen 7. rujna 2022. godine sa zračnim prijevoznikom Croatia Airlines d.d.   
</w:t>
      </w:r>
    </w:p>
    <w:p>
      <w:pPr>
        <w:jc w:val="both"/>
        <w:pStyle w:val="Normal"/>
      </w:pPr>
      <w:r>
        <w:rPr>
          <w:rFonts w:hAnsi="Times New Roman" w:cs="Times New Roman"/>
        </w:rPr>
        <w:t xml:space="preserve">Člankom 6. istoga Ugovora utvrđen je iznos naknade Croatia Airlines-u za obavljanje javne usluge za razdoblje od 4. srpnja 2022. do 28. ožujka 2026. godine do najviše 55.211.622 eura kao i za razdoblje od 30. ožujka 2025. - 28. ožujka 2026. godine do najviše 14.513.347 eura.  
</w:t>
      </w:r>
    </w:p>
    <w:p>
      <w:pPr>
        <w:jc w:val="both"/>
        <w:pStyle w:val="Normal"/>
      </w:pPr>
      <w:r>
        <w:rPr>
          <w:rFonts w:hAnsi="Times New Roman" w:cs="Times New Roman"/>
        </w:rPr>
        <w:t xml:space="preserve">Iznosi financijskih sredstva za provedbu ove aktivnosti (račun 352) planirani su na temelju Ugovora o obvezi obavljanja domaćeg linijskog zračnog prijevoza za razdoblje od 4. srpnja 2022. do 28. ožujka 2026. godine, koji je sklopljen 7. rujna 2022. godine sa zračnim prijevoznikom Trade Air d.o.o.  
</w:t>
      </w:r>
    </w:p>
    <w:p>
      <w:pPr>
        <w:jc w:val="both"/>
        <w:pStyle w:val="Normal"/>
      </w:pPr>
      <w:r>
        <w:rPr>
          <w:rFonts w:hAnsi="Times New Roman" w:cs="Times New Roman"/>
        </w:rPr>
        <w:t xml:space="preserve">Člankom 6. istoga Ugovora utvrđen je iznos naknade Trade Air-u za obavljanje javne usluge za razdoblje od 4. srpnja 2022. do 28. ožujka 2026. godine do najviše 23.403.521 eura kao i od 30. ožujka 2025. do 28. ožujka 2026. godine do najviše 6.478.797 eura.
</w:t>
      </w:r>
    </w:p>
    <w:p>
      <w:pPr>
        <w:jc w:val="both"/>
        <w:pStyle w:val="Normal"/>
      </w:pPr>
      <w:r>
        <w:rPr>
          <w:rFonts w:hAnsi="Times New Roman" w:cs="Times New Roman"/>
        </w:rPr>
        <w:t xml:space="preserve">Za novi SGEI program za obavljanje javne usluge u budućem petogodišnjem razdoblju, Ministarstvo planira početkom 2026. godine pokrenuti postupak prema Vladi Republike Hrvatske za donošenje Odluke o obvezi obavljanja redovitog  linijskog zračnog prijevoza za razdoblje od 29. ožujka 2026. do 28. ožujka 2030. godine.
</w:t>
      </w:r>
    </w:p>
    <w:p>
      <w:pPr>
        <w:jc w:val="both"/>
        <w:pStyle w:val="Normal"/>
      </w:pPr>
      <w:r>
        <w:rPr>
          <w:rFonts w:hAnsi="Times New Roman" w:cs="Times New Roman"/>
        </w:rPr>
        <w:t xml:space="preserve">Ministarstvo planira u prvom kvartalu 2026. godine za novi SGEI program objaviti i Javni natječaj u Službenom listu Europske unije te provesti aktivnosti vezano uz analizu i dubinsko snimanje pristiglih ponuda, nakon čega će se odabrati najpovolnjije ponude, odnosno odabrat će se zračni prijevoznici koji će obavljati uslugu linijskog zračnog prijevoza, kao javne usluge (Services of General Economic Interest - SGEI) u razdoblju od 29. ožujka 2026. do 28. ožujka 2030. godine.     
</w:t>
      </w:r>
    </w:p>
    <w:p>
      <w:pPr>
        <w:jc w:val="both"/>
        <w:pStyle w:val="Normal"/>
      </w:pPr>
      <w:r>
        <w:rPr>
          <w:rFonts w:hAnsi="Times New Roman" w:cs="Times New Roman"/>
        </w:rPr>
        <w:t xml:space="preserve">Novim SGEI programom se planira odrediti obveza zračnim prijevoznicima za obavljanje redovitog linijskog zračnog prijevoza, koja neće značajnije odstupati od postojećeg opsega javne usluge te se stoga procjenjuje da je potrebno u ovom planskom razdoblju osigurati sredstva za financiranje naknade zračnim prijevoznicima za obavljanje ove javne usluge i to u 2026. godini u iznosu od najmanje 15.123.660 eura, u 2027. godini u iznosu od najmanje 18.830.160 eura i u 2028. godini u iznosu od najmanje 18.850.160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podržanih letova na domaćim zračnim linijama</w:t>
            </w:r>
          </w:p>
        </w:tc>
        <w:tc>
          <w:tcPr>
            <w:tcW w:w="2245.32" w:type="dxa"/>
            <w:vAlign w:val="center"/>
          </w:tcPr>
          <w:p>
            <w:pPr>
              <w:jc w:val="both"/>
              <w:pStyle w:val="CellColumn"/>
            </w:pPr>
            <w:r>
              <w:rPr>
                <w:rFonts w:hAnsi="Times New Roman" w:cs="Times New Roman"/>
              </w:rPr>
              <w:t xml:space="preserve">Očuvanjem broja domaćih letova postiže se ujednačeni razvoj regija te održavanje postojeće prometne povezanosti regija i područja unutar RH 
</w:t>
            </w:r>
          </w:p>
          <w:p>
            <w:pPr>
              <w:jc w:val="both"/>
              <w:pStyle w:val="CellColumn"/>
            </w:pPr>
            <w:r>
              <w:rPr>
                <w:rFonts w:hAnsi="Times New Roman" w:cs="Times New Roman"/>
              </w:rPr>
              <w:t xml:space="preserve">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7.900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7.900</w:t>
            </w:r>
          </w:p>
        </w:tc>
        <w:tc>
          <w:tcPr>
            <w:tcW w:w="918.54" w:type="dxa"/>
            <w:vAlign w:val="center"/>
          </w:tcPr>
          <w:p>
            <w:pPr>
              <w:jc w:val="both"/>
              <w:pStyle w:val="CellColumn"/>
            </w:pPr>
            <w:r>
              <w:rPr>
                <w:rFonts w:hAnsi="Times New Roman" w:cs="Times New Roman"/>
              </w:rPr>
              <w:t xml:space="preserve">8.200</w:t>
            </w:r>
          </w:p>
        </w:tc>
        <w:tc>
          <w:tcPr>
            <w:tcW w:w="918.54" w:type="dxa"/>
            <w:vAlign w:val="center"/>
          </w:tcPr>
          <w:p>
            <w:pPr>
              <w:jc w:val="both"/>
              <w:pStyle w:val="CellColumn"/>
            </w:pPr>
            <w:r>
              <w:rPr>
                <w:rFonts w:hAnsi="Times New Roman" w:cs="Times New Roman"/>
              </w:rPr>
              <w:t xml:space="preserve">8.200</w:t>
            </w:r>
          </w:p>
        </w:tc>
      </w:tr>
    </w:tbl>
    <w:p>
      <w:pPr>
        <w:jc w:val="left"/>
      </w:pPr>
      <w:r>
        <w:rPr>
          <w:rFonts w:hAnsi="Times New Roman" w:cs="Times New Roman"/>
        </w:rPr>
        <w:t xml:space="preserve"/>
      </w:r>
    </w:p>
    <w:p>
      <w:pPr>
        <w:jc w:val="left"/>
        <w:pStyle w:val="Heading4"/>
      </w:pPr>
      <w:r>
        <w:rPr>
          <w:rFonts w:hAnsi="Times New Roman" w:cs="Times New Roman"/>
        </w:rPr>
        <w:t xml:space="preserve">A754025 NADOKNADA TROŠKOVA HRVATSKOJ KONTROLI ZRAČNE PLOVIDBE ZA RUTNE I TERMINALNE NAKNADE ZA IZUZETE LETOVE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osnutku Hrvatske kontrole zračne plovidbe, članak 3, stavak 4  
</w:t>
      </w:r>
    </w:p>
    <w:p>
      <w:pPr>
        <w:jc w:val="both"/>
        <w:pStyle w:val="Normal5"/>
      </w:pPr>
      <w:r>
        <w:rPr>
          <w:rFonts w:hAnsi="Times New Roman" w:cs="Times New Roman"/>
        </w:rPr>
        <w:t xml:space="preserve">- Odluka o utvrđivanju letova koji se izuzimaju od plaćanja naknada u zračnoj plovidbi, koju je  
</w:t>
      </w:r>
    </w:p>
    <w:p>
      <w:pPr>
        <w:jc w:val="both"/>
        <w:pStyle w:val="Normal5"/>
      </w:pPr>
      <w:r>
        <w:rPr>
          <w:rFonts w:hAnsi="Times New Roman" w:cs="Times New Roman"/>
        </w:rPr>
        <w:t xml:space="preserve">   Vlada Republike Hrvatske donijela 24. travnja 2025.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A754025-NADOKNADA TROŠKOVA HRVATSKOJ KONTROLI ZRAČNE PLOVIDBE ZA RUTNE I TERMINALNE NAKNADE ZA IZUZETE LETOVE</w:t>
            </w:r>
          </w:p>
        </w:tc>
        <w:tc>
          <w:tcPr>
            <w:tcW w:w="1632.96" w:type="dxa"/>
            <w:vAlign w:val="center"/>
          </w:tcPr>
          <w:p>
            <w:pPr>
              <w:jc w:val="both"/>
              <w:pStyle w:val="CellColumn"/>
            </w:pPr>
            <w:r>
              <w:rPr>
                <w:rFonts w:hAnsi="Times New Roman" w:cs="Times New Roman"/>
              </w:rPr>
              <w:t xml:space="preserve">598.147</w:t>
            </w:r>
          </w:p>
        </w:tc>
        <w:tc>
          <w:tcPr>
            <w:tcW w:w="1632.96" w:type="dxa"/>
            <w:vAlign w:val="center"/>
          </w:tcPr>
          <w:p>
            <w:pPr>
              <w:jc w:val="both"/>
              <w:pStyle w:val="CellColumn"/>
            </w:pPr>
            <w:r>
              <w:rPr>
                <w:rFonts w:hAnsi="Times New Roman" w:cs="Times New Roman"/>
              </w:rPr>
              <w:t xml:space="preserve">584.800</w:t>
            </w:r>
          </w:p>
        </w:tc>
        <w:tc>
          <w:tcPr>
            <w:tcW w:w="1632.96" w:type="dxa"/>
            <w:vAlign w:val="center"/>
          </w:tcPr>
          <w:p>
            <w:pPr>
              <w:jc w:val="both"/>
              <w:pStyle w:val="CellColumn"/>
            </w:pPr>
            <w:r>
              <w:rPr>
                <w:rFonts w:hAnsi="Times New Roman" w:cs="Times New Roman"/>
              </w:rPr>
              <w:t xml:space="preserve">690.000</w:t>
            </w:r>
          </w:p>
        </w:tc>
        <w:tc>
          <w:tcPr>
            <w:tcW w:w="1632.96" w:type="dxa"/>
            <w:vAlign w:val="center"/>
          </w:tcPr>
          <w:p>
            <w:pPr>
              <w:jc w:val="both"/>
              <w:pStyle w:val="CellColumn"/>
            </w:pPr>
            <w:r>
              <w:rPr>
                <w:rFonts w:hAnsi="Times New Roman" w:cs="Times New Roman"/>
              </w:rPr>
              <w:t xml:space="preserve">690.000</w:t>
            </w:r>
          </w:p>
        </w:tc>
        <w:tc>
          <w:tcPr>
            <w:tcW w:w="1632.96" w:type="dxa"/>
            <w:vAlign w:val="center"/>
          </w:tcPr>
          <w:p>
            <w:pPr>
              <w:jc w:val="both"/>
              <w:pStyle w:val="CellColumn"/>
            </w:pPr>
            <w:r>
              <w:rPr>
                <w:rFonts w:hAnsi="Times New Roman" w:cs="Times New Roman"/>
              </w:rPr>
              <w:t xml:space="preserve">690.000</w:t>
            </w:r>
          </w:p>
        </w:tc>
        <w:tc>
          <w:tcPr>
            <w:tcW w:w="510.3" w:type="dxa"/>
            <w:vAlign w:val="center"/>
          </w:tcPr>
          <w:p>
            <w:pPr>
              <w:jc w:val="both"/>
              <w:pStyle w:val="CellColumn"/>
            </w:pPr>
            <w:r>
              <w:rPr>
                <w:rFonts w:hAnsi="Times New Roman" w:cs="Times New Roman"/>
              </w:rPr>
              <w:t xml:space="preserve">118,0</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svake godine. Zakonom o osnutku Hrvatske kontrole zračne plovidbe, između ostalog, određeno je i da će se troškovi usluga koje društvo Hrvatska kontrola zračne plovidbe d.o.o. pruža izuzetim letovima, istom Društvu nadoknađivati iz sredstava koja se osiguravaju u državnom proračunu Republike Hrvatske kao i da Društvo ima pravo na nadoknadu troškova za te letove i to počevši od 1. srpnja 2013., a troškovi letova će se nadoknađivati u tekućoj godini za troškove koji nastanu u prethodnoj godini.    
</w:t>
      </w:r>
    </w:p>
    <w:p>
      <w:pPr>
        <w:jc w:val="both"/>
        <w:pStyle w:val="Normal"/>
      </w:pPr>
      <w:r>
        <w:rPr>
          <w:rFonts w:hAnsi="Times New Roman" w:cs="Times New Roman"/>
        </w:rPr>
        <w:t xml:space="preserve">Odlukom o utvrđivanju letova koji se izuzimaju od plaćanja naknada u zračnoj plovidbi, utvrđen je popis letova koji se izuzimaju od obveze plaćanja rutnih i terminalnih naknada, a navedene naknade odnose se na usluge u zračnoj plovidbi koje pružaju pružatelji usluga u zračnoj plovidbi tijekom preleta zračnog prostora ili doleta na aerodrome.   
</w:t>
      </w:r>
    </w:p>
    <w:p>
      <w:pPr>
        <w:jc w:val="both"/>
        <w:pStyle w:val="Normal"/>
      </w:pPr>
      <w:r>
        <w:rPr>
          <w:rFonts w:hAnsi="Times New Roman" w:cs="Times New Roman"/>
        </w:rPr>
        <w:t xml:space="preserve">Na ovoj aktivnosti planiraju se proračunska sredstva potrebna za nadoknadu troškova usluga koje društvo Hrvatska kontrola zračne plovidbe d.o.o. (HKZP) pruža letovima koji su izuzeti od plaćanja rutnih i terminalnih naknada (potraga i spašavanje, vojni letovi, policijski letovi, humanitarni letovi, određena osposobljavanja i dr.).   
</w:t>
      </w:r>
    </w:p>
    <w:p>
      <w:pPr>
        <w:jc w:val="both"/>
        <w:pStyle w:val="Normal"/>
      </w:pPr>
      <w:r>
        <w:rPr>
          <w:rFonts w:hAnsi="Times New Roman" w:cs="Times New Roman"/>
        </w:rPr>
        <w:t xml:space="preserve">Iznos potrebnih financijskih sredstva za provedbu ove aktivnosti, temeljen je na ostvarenim propuštenim prihodima HKZP-a s osnove izuzetih letova, odnosno planiran je u skladu s obračunom propuštenih naknada rutnih i terminalnih usluga za sve kategorije izuzetih letova ostvarenih tijekom proteklog razdoblja (2013. – 2024.) te se stoga procjenjuje da će planirani iznosi od 690.000 eura/godišnje biti dostatni za nadoknadu navedenih troškova HKZP-u  u razdoblju 2026. do 2028. godine.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Udio podržanih servisnih jedinica (Service units) za rutne naknade za izuzete letove</w:t>
            </w:r>
          </w:p>
        </w:tc>
        <w:tc>
          <w:tcPr>
            <w:tcW w:w="2245.32" w:type="dxa"/>
            <w:vAlign w:val="center"/>
          </w:tcPr>
          <w:p>
            <w:pPr>
              <w:jc w:val="both"/>
              <w:pStyle w:val="CellColumn"/>
            </w:pPr>
            <w:r>
              <w:rPr>
                <w:rFonts w:hAnsi="Times New Roman" w:cs="Times New Roman"/>
              </w:rPr>
              <w:t xml:space="preserve">Podržavanjem servisnih jedinica (Service units) za rutne naknade za izuzete letove omogućava se nesmetan prelet zračnog prostora ili dolet na aerodrome u Republici Hrvatskoj, a za letove potraga i spašavanja, vojne letove, policijske letove te humanitarne letove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r>
        <w:trPr>
          <w:cantSplit/>
        </w:trPr>
        <w:tc>
          <w:tcPr>
            <w:tcW w:w="2245.32" w:type="dxa"/>
            <w:vAlign w:val="center"/>
          </w:tcPr>
          <w:p>
            <w:pPr>
              <w:jc w:val="both"/>
              <w:pStyle w:val="CellColumn"/>
            </w:pPr>
            <w:r>
              <w:rPr>
                <w:rFonts w:hAnsi="Times New Roman" w:cs="Times New Roman"/>
              </w:rPr>
              <w:t xml:space="preserve">Udio podržanih servisnih jedinica (Service units) za terminalne naknade za izuzete letove</w:t>
            </w:r>
          </w:p>
        </w:tc>
        <w:tc>
          <w:tcPr>
            <w:tcW w:w="2245.32" w:type="dxa"/>
            <w:vAlign w:val="center"/>
          </w:tcPr>
          <w:p>
            <w:pPr>
              <w:jc w:val="both"/>
              <w:pStyle w:val="CellColumn"/>
            </w:pPr>
            <w:r>
              <w:rPr>
                <w:rFonts w:hAnsi="Times New Roman" w:cs="Times New Roman"/>
              </w:rPr>
              <w:t xml:space="preserve">Podržavanjem servisnih jedinica (Service units) za terminalne naknade za izuzete letove omogućava se nesmetan prelet zračnog prostora ili dolet na aerodrome u Republici Hrvatskoj, a za letove potraga i spašavanja, vojne letove, policijske letove te humanitarne letove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A754035 PROVEDBA UGOVORA O KONCESIJI ZA IZGRADNJU NOVOG PUTNIČKOG TERMINALA ZRAČNE LUKE ZAGREB</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Ugovor o koncesiji (Izmjena br. 2 Ugovora o koncesiji za izgradnju i upravljanje Zračnom lukom Zagreb između Republike Hrvatske i Međunarodne zračne luke Zagreb d.d.)., od 2. prosinca 2013.   
</w:t>
      </w:r>
    </w:p>
    <w:p>
      <w:pPr>
        <w:jc w:val="both"/>
        <w:pStyle w:val="Normal5"/>
      </w:pPr>
      <w:r>
        <w:rPr>
          <w:rFonts w:hAnsi="Times New Roman" w:cs="Times New Roman"/>
        </w:rPr>
        <w:t xml:space="preserve">- Zaključak Vlade Republike Hrvatske od 10. srpnja 2014.   
</w:t>
      </w:r>
    </w:p>
    <w:p>
      <w:pPr>
        <w:jc w:val="both"/>
        <w:pStyle w:val="Normal5"/>
      </w:pPr>
      <w:r>
        <w:rPr>
          <w:rFonts w:hAnsi="Times New Roman" w:cs="Times New Roman"/>
        </w:rPr>
        <w:t xml:space="preserve">- Sporazum o uređenju međusobnih odnosa u vezi davanja koncesije za Zračnu luku Zagreb između Ministarstva mora, prometa, i infrastrukture i Zračne luke Zagreb d.o.o. od 14. srpnja 2014.   
</w:t>
      </w:r>
    </w:p>
    <w:p>
      <w:pPr>
        <w:jc w:val="both"/>
        <w:pStyle w:val="Normal5"/>
      </w:pPr>
      <w:r>
        <w:rPr>
          <w:rFonts w:hAnsi="Times New Roman" w:cs="Times New Roman"/>
        </w:rPr>
        <w:t xml:space="preserve">- Zakon o zračnim lukama, članak 9.b, stavak 11, članak 10</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A754035-PROVEDBA UGOVORA O KONCESIJI ZA IZGRADNJU NOVOG PUTNIČKOG TERMINALA ZRAČNE LUKE ZAGREB</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32.494</w:t>
            </w:r>
          </w:p>
        </w:tc>
        <w:tc>
          <w:tcPr>
            <w:tcW w:w="1632.96" w:type="dxa"/>
            <w:vAlign w:val="center"/>
          </w:tcPr>
          <w:p>
            <w:pPr>
              <w:jc w:val="both"/>
              <w:pStyle w:val="CellColumn"/>
            </w:pPr>
            <w:r>
              <w:rPr>
                <w:rFonts w:hAnsi="Times New Roman" w:cs="Times New Roman"/>
              </w:rPr>
              <w:t xml:space="preserve">32.494</w:t>
            </w:r>
          </w:p>
        </w:tc>
        <w:tc>
          <w:tcPr>
            <w:tcW w:w="1632.96" w:type="dxa"/>
            <w:vAlign w:val="center"/>
          </w:tcPr>
          <w:p>
            <w:pPr>
              <w:jc w:val="both"/>
              <w:pStyle w:val="CellColumn"/>
            </w:pPr>
            <w:r>
              <w:rPr>
                <w:rFonts w:hAnsi="Times New Roman" w:cs="Times New Roman"/>
              </w:rPr>
              <w:t xml:space="preserve">182.494</w:t>
            </w:r>
          </w:p>
        </w:tc>
        <w:tc>
          <w:tcPr>
            <w:tcW w:w="1632.96" w:type="dxa"/>
            <w:vAlign w:val="center"/>
          </w:tcPr>
          <w:p>
            <w:pPr>
              <w:jc w:val="both"/>
              <w:pStyle w:val="CellColumn"/>
            </w:pPr>
            <w:r>
              <w:rPr>
                <w:rFonts w:hAnsi="Times New Roman" w:cs="Times New Roman"/>
              </w:rPr>
              <w:t xml:space="preserve">182.494</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Nakon međunarodnog javnog natječaja, Vlada Republike Hrvatske dala je koncesiju društvu ZAIC za izgradnju Novog putničkog terminala i upravljanje Zračnom lukom Zagreb, a Ministarstvo mora, prometa i infrastrukture je sukladno članku 32. Zakona o koncesijama, u ime davatelja koncesije, nadležno za praćenje provođenja koncesije.    
</w:t>
      </w:r>
    </w:p>
    <w:p>
      <w:pPr>
        <w:jc w:val="both"/>
        <w:pStyle w:val="Normal"/>
      </w:pPr>
      <w:r>
        <w:rPr>
          <w:rFonts w:hAnsi="Times New Roman" w:cs="Times New Roman"/>
        </w:rPr>
        <w:t xml:space="preserve">U okviru nadležnosti Ministarstva, osnovano je Povjerenstvo za praćenje provedbe ugovora o koncesiji za izgradnju i upravljanje Zračnom lukom Zagreb, koje prati provedbu te izvršenje obveza iz Ugovora o koncesiji te koje ima obvezu da davatelju koncesije i Ministarstvu financija dostavlja izvještaje o provedbi Ugovora o koncesiji.   
</w:t>
      </w:r>
    </w:p>
    <w:p>
      <w:pPr>
        <w:jc w:val="both"/>
        <w:pStyle w:val="Normal"/>
      </w:pPr>
      <w:r>
        <w:rPr>
          <w:rFonts w:hAnsi="Times New Roman" w:cs="Times New Roman"/>
        </w:rPr>
        <w:t xml:space="preserve">Za provedbu ove aktivnosti za razdoblje od  2026. do 2028. godine, planirana su proračunska sredstva u svrhu plaćanja naknade za korištenje nekretnina društva Zračne luke Zagreb d.o.o., koju bi plaćalo ovo Ministarstvo u ime Republike Hrvatske sukladno udjelu u temeljnom kapitalu društva Zračne luke Zagreb d.o.o.. Ministarstvo je pokrenulo postupak za rješavanje pitanja sklapanja Sporazuma o plaćanju naknade za korištenje imovine Zračne luke Zagreb d.o.o. između svih suvlasnika te je definiran i model plaćanja naknade za korištenje imovine Zračne luke Zagreb d.o.o. koju bi temeljem navedenog Sporazuma plaćali svi suvlasnici, u iznosu vlasničkog udjela i u ukupnom iznosu naknade od 265.446 eura/godišnje. Sukladno vlasničkom udjelu utvrđeni su i iznosi godišnje naknade (za Republiku Hrvatsku 145.995 eura, za Grad Zagreb 92.905 eura, za Grad Velika Gorica 13.272 eura i za Zagrebačku županiju 13.272 eura), a koji se iznosi uvećavanju za iznos PDV-a te je procijenjeno da bi iznos od 32.494 eura za 2026. godinu te za 2027. i 2028. godinu iznos od 182.494 eura/godišnje  bio dostatan za provedbu ove aktivnosti u ovom planskom razdoblju.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dostavljenih izvještaja o provedbi Ugovora o koncesiji</w:t>
            </w:r>
          </w:p>
        </w:tc>
        <w:tc>
          <w:tcPr>
            <w:tcW w:w="2245.32" w:type="dxa"/>
            <w:vAlign w:val="center"/>
          </w:tcPr>
          <w:p>
            <w:pPr>
              <w:jc w:val="both"/>
              <w:pStyle w:val="CellColumn"/>
            </w:pPr>
            <w:r>
              <w:rPr>
                <w:rFonts w:hAnsi="Times New Roman" w:cs="Times New Roman"/>
              </w:rPr>
              <w:t xml:space="preserve">Očuvanjem broja dostavljenih izvještaja o provedbi Ugovora o koncesiji postiže se ujednačeno praćenje izvršenja obveza iz Ugovora o koncesiji 
</w:t>
            </w:r>
          </w:p>
          <w:p>
            <w:pPr>
              <w:jc w:val="both"/>
              <w:pStyle w:val="CellColumn"/>
            </w:pPr>
            <w:r>
              <w:rPr>
                <w:rFonts w:hAnsi="Times New Roman" w:cs="Times New Roman"/>
              </w:rPr>
              <w:t xml:space="preserve">Napomena: Radi se o godišnjoj vrijednosti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r>
    </w:tbl>
    <w:p>
      <w:pPr>
        <w:jc w:val="left"/>
      </w:pPr>
      <w:r>
        <w:rPr>
          <w:rFonts w:hAnsi="Times New Roman" w:cs="Times New Roman"/>
        </w:rPr>
        <w:t xml:space="preserve"/>
      </w:r>
    </w:p>
    <w:p>
      <w:pPr>
        <w:jc w:val="left"/>
        <w:pStyle w:val="Heading3"/>
      </w:pPr>
      <w:r>
        <w:rPr>
          <w:rFonts w:hAnsi="Times New Roman" w:cs="Times New Roman"/>
        </w:rPr>
        <w:t xml:space="preserve">3114 IZGRADNJA I ODRŽAVANJE ŽELJEZNIČKE INFRASTRUKTURE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3114-IZGRADNJA I ODRŽAVANJE ŽELJEZNIČKE INFRASTRUKTURE</w:t>
            </w:r>
          </w:p>
        </w:tc>
        <w:tc>
          <w:tcPr>
            <w:tcW w:w="1632.96" w:type="dxa"/>
            <w:vAlign w:val="center"/>
          </w:tcPr>
          <w:p>
            <w:pPr>
              <w:jc w:val="both"/>
              <w:pStyle w:val="CellColumn"/>
            </w:pPr>
            <w:r>
              <w:rPr>
                <w:rFonts w:hAnsi="Times New Roman" w:cs="Times New Roman"/>
              </w:rPr>
              <w:t xml:space="preserve">258.442.443</w:t>
            </w:r>
          </w:p>
        </w:tc>
        <w:tc>
          <w:tcPr>
            <w:tcW w:w="1632.96" w:type="dxa"/>
            <w:vAlign w:val="center"/>
          </w:tcPr>
          <w:p>
            <w:pPr>
              <w:jc w:val="both"/>
              <w:pStyle w:val="CellColumn"/>
            </w:pPr>
            <w:r>
              <w:rPr>
                <w:rFonts w:hAnsi="Times New Roman" w:cs="Times New Roman"/>
              </w:rPr>
              <w:t xml:space="preserve">371.870.556</w:t>
            </w:r>
          </w:p>
        </w:tc>
        <w:tc>
          <w:tcPr>
            <w:tcW w:w="1632.96" w:type="dxa"/>
            <w:vAlign w:val="center"/>
          </w:tcPr>
          <w:p>
            <w:pPr>
              <w:jc w:val="both"/>
              <w:pStyle w:val="CellColumn"/>
            </w:pPr>
            <w:r>
              <w:rPr>
                <w:rFonts w:hAnsi="Times New Roman" w:cs="Times New Roman"/>
              </w:rPr>
              <w:t xml:space="preserve">311.980.402</w:t>
            </w:r>
          </w:p>
        </w:tc>
        <w:tc>
          <w:tcPr>
            <w:tcW w:w="1632.96" w:type="dxa"/>
            <w:vAlign w:val="center"/>
          </w:tcPr>
          <w:p>
            <w:pPr>
              <w:jc w:val="both"/>
              <w:pStyle w:val="CellColumn"/>
            </w:pPr>
            <w:r>
              <w:rPr>
                <w:rFonts w:hAnsi="Times New Roman" w:cs="Times New Roman"/>
              </w:rPr>
              <w:t xml:space="preserve">308.933.966</w:t>
            </w:r>
          </w:p>
        </w:tc>
        <w:tc>
          <w:tcPr>
            <w:tcW w:w="1632.96" w:type="dxa"/>
            <w:vAlign w:val="center"/>
          </w:tcPr>
          <w:p>
            <w:pPr>
              <w:jc w:val="both"/>
              <w:pStyle w:val="CellColumn"/>
            </w:pPr>
            <w:r>
              <w:rPr>
                <w:rFonts w:hAnsi="Times New Roman" w:cs="Times New Roman"/>
              </w:rPr>
              <w:t xml:space="preserve">353.200.000</w:t>
            </w:r>
          </w:p>
        </w:tc>
        <w:tc>
          <w:tcPr>
            <w:tcW w:w="510.3" w:type="dxa"/>
            <w:vAlign w:val="center"/>
          </w:tcPr>
          <w:p>
            <w:pPr>
              <w:jc w:val="both"/>
              <w:pStyle w:val="CellColumn"/>
            </w:pPr>
            <w:r>
              <w:rPr>
                <w:rFonts w:hAnsi="Times New Roman" w:cs="Times New Roman"/>
              </w:rPr>
              <w:t xml:space="preserve">83,9</w:t>
            </w:r>
          </w:p>
        </w:tc>
      </w:tr>
    </w:tbl>
    <w:p>
      <w:pPr>
        <w:jc w:val="left"/>
      </w:pPr>
      <w:r>
        <w:rPr>
          <w:rFonts w:hAnsi="Times New Roman" w:cs="Times New Roman"/>
        </w:rPr>
        <w:t xml:space="preserve"/>
      </w:r>
    </w:p>
    <w:p>
      <w:pPr>
        <w:jc w:val="left"/>
        <w:pStyle w:val="Heading7"/>
      </w:pPr>
      <w:r>
        <w:rPr>
          <w:rFonts w:hAnsi="Times New Roman" w:cs="Times New Roman"/>
        </w:rPr>
        <w:t xml:space="preserve">Cilj 1. Razvijen sustav željezničkog prometa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Prosječno zakašnjenje putničkih vlakova na prijeđenih 100 km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Smanjenjem zakašnjenja putničkih vlakova povećava se kvaliteta usluge za krajnjeg korisnika</w:t>
            </w:r>
          </w:p>
        </w:tc>
        <w:tc>
          <w:tcPr>
            <w:tcW w:w="918.54" w:type="dxa"/>
            <w:vAlign w:val="center"/>
          </w:tcPr>
          <w:p>
            <w:pPr>
              <w:jc w:val="both"/>
              <w:pStyle w:val="CellColumn"/>
            </w:pPr>
            <w:r>
              <w:rPr>
                <w:rFonts w:hAnsi="Times New Roman" w:cs="Times New Roman"/>
              </w:rPr>
              <w:t xml:space="preserve">min</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6</w:t>
            </w:r>
          </w:p>
        </w:tc>
      </w:tr>
      <w:tr>
        <w:trPr>
          <w:cantSplit/>
        </w:trPr>
        <w:tc>
          <w:tcPr>
            <w:tcW w:w="2245.32" w:type="dxa"/>
            <w:vAlign w:val="center"/>
          </w:tcPr>
          <w:p>
            <w:pPr>
              <w:jc w:val="both"/>
              <w:pStyle w:val="CellColumn"/>
            </w:pPr>
            <w:r>
              <w:rPr>
                <w:rFonts w:hAnsi="Times New Roman" w:cs="Times New Roman"/>
              </w:rPr>
              <w:t xml:space="preserve">Prosječno zakašnjenje teretnih vlakova na prijeđenih 100 km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Smanjenjem zakašnjenja teretnih vlakova povećava se kvaliteta usluge za krajnjeg korisnika</w:t>
            </w:r>
          </w:p>
        </w:tc>
        <w:tc>
          <w:tcPr>
            <w:tcW w:w="918.54" w:type="dxa"/>
            <w:vAlign w:val="center"/>
          </w:tcPr>
          <w:p>
            <w:pPr>
              <w:jc w:val="both"/>
              <w:pStyle w:val="CellColumn"/>
            </w:pPr>
            <w:r>
              <w:rPr>
                <w:rFonts w:hAnsi="Times New Roman" w:cs="Times New Roman"/>
              </w:rPr>
              <w:t xml:space="preserve">min</w:t>
            </w:r>
          </w:p>
        </w:tc>
        <w:tc>
          <w:tcPr>
            <w:tcW w:w="918.54" w:type="dxa"/>
            <w:vAlign w:val="center"/>
          </w:tcPr>
          <w:p>
            <w:pPr>
              <w:jc w:val="both"/>
              <w:pStyle w:val="CellColumn"/>
            </w:pPr>
            <w:r>
              <w:rPr>
                <w:rFonts w:hAnsi="Times New Roman" w:cs="Times New Roman"/>
              </w:rPr>
              <w:t xml:space="preserve">210</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162</w:t>
            </w:r>
          </w:p>
        </w:tc>
        <w:tc>
          <w:tcPr>
            <w:tcW w:w="918.54" w:type="dxa"/>
            <w:vAlign w:val="center"/>
          </w:tcPr>
          <w:p>
            <w:pPr>
              <w:jc w:val="both"/>
              <w:pStyle w:val="CellColumn"/>
            </w:pPr>
            <w:r>
              <w:rPr>
                <w:rFonts w:hAnsi="Times New Roman" w:cs="Times New Roman"/>
              </w:rPr>
              <w:t xml:space="preserve">162</w:t>
            </w:r>
          </w:p>
        </w:tc>
        <w:tc>
          <w:tcPr>
            <w:tcW w:w="918.54" w:type="dxa"/>
            <w:vAlign w:val="center"/>
          </w:tcPr>
          <w:p>
            <w:pPr>
              <w:jc w:val="both"/>
              <w:pStyle w:val="CellColumn"/>
            </w:pPr>
            <w:r>
              <w:rPr>
                <w:rFonts w:hAnsi="Times New Roman" w:cs="Times New Roman"/>
              </w:rPr>
              <w:t xml:space="preserve">162</w:t>
            </w:r>
          </w:p>
        </w:tc>
      </w:tr>
    </w:tbl>
    <w:p>
      <w:pPr>
        <w:jc w:val="left"/>
      </w:pPr>
      <w:r>
        <w:rPr>
          <w:rFonts w:hAnsi="Times New Roman" w:cs="Times New Roman"/>
        </w:rPr>
        <w:t xml:space="preserve"/>
      </w:r>
    </w:p>
    <w:p>
      <w:pPr>
        <w:jc w:val="left"/>
        <w:pStyle w:val="Heading4"/>
      </w:pPr>
      <w:r>
        <w:rPr>
          <w:rFonts w:hAnsi="Times New Roman" w:cs="Times New Roman"/>
        </w:rPr>
        <w:t xml:space="preserve">A754029 NAKNADA U CIJENI GORIVA ZA HŽ INFRASTRUKTURU D.O.O.</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željeznici, članak 18.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Nacionalni program željezničke infrastrukture za razdoblje od 2016. do 2020. godine   
</w:t>
      </w:r>
    </w:p>
    <w:p>
      <w:pPr>
        <w:jc w:val="both"/>
        <w:pStyle w:val="Normal5"/>
      </w:pPr>
      <w:r>
        <w:rPr>
          <w:rFonts w:hAnsi="Times New Roman" w:cs="Times New Roman"/>
        </w:rPr>
        <w:t xml:space="preserve">- Višegodišnji ugovor o upravljanju željezničkom infrastrukturom 
</w:t>
      </w:r>
    </w:p>
    <w:p>
      <w:pPr>
        <w:jc w:val="both"/>
        <w:pStyle w:val="Normal5"/>
      </w:pPr>
      <w:r>
        <w:rPr>
          <w:rFonts w:hAnsi="Times New Roman" w:cs="Times New Roman"/>
        </w:rPr>
        <w:t xml:space="preserve">- Ugovor o međusobnim pravima i obvezama u vezi s financiranjem upravljanja željezničkom infrastrukturom u širem smislu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A754029-NAKNADA U CIJENI GORIVA ZA HŽ INFRASTRUKTURU D.O.O.</w:t>
            </w:r>
          </w:p>
        </w:tc>
        <w:tc>
          <w:tcPr>
            <w:tcW w:w="1632.96" w:type="dxa"/>
            <w:vAlign w:val="center"/>
          </w:tcPr>
          <w:p>
            <w:pPr>
              <w:jc w:val="both"/>
              <w:pStyle w:val="CellColumn"/>
            </w:pPr>
            <w:r>
              <w:rPr>
                <w:rFonts w:hAnsi="Times New Roman" w:cs="Times New Roman"/>
              </w:rPr>
              <w:t xml:space="preserve">78.000.000</w:t>
            </w:r>
          </w:p>
        </w:tc>
        <w:tc>
          <w:tcPr>
            <w:tcW w:w="1632.96" w:type="dxa"/>
            <w:vAlign w:val="center"/>
          </w:tcPr>
          <w:p>
            <w:pPr>
              <w:jc w:val="both"/>
              <w:pStyle w:val="CellColumn"/>
            </w:pPr>
            <w:r>
              <w:rPr>
                <w:rFonts w:hAnsi="Times New Roman" w:cs="Times New Roman"/>
              </w:rPr>
              <w:t xml:space="preserve">101.585.708</w:t>
            </w:r>
          </w:p>
        </w:tc>
        <w:tc>
          <w:tcPr>
            <w:tcW w:w="1632.96" w:type="dxa"/>
            <w:vAlign w:val="center"/>
          </w:tcPr>
          <w:p>
            <w:pPr>
              <w:jc w:val="both"/>
              <w:pStyle w:val="CellColumn"/>
            </w:pPr>
            <w:r>
              <w:rPr>
                <w:rFonts w:hAnsi="Times New Roman" w:cs="Times New Roman"/>
              </w:rPr>
              <w:t xml:space="preserve">96.500.000</w:t>
            </w:r>
          </w:p>
        </w:tc>
        <w:tc>
          <w:tcPr>
            <w:tcW w:w="1632.96" w:type="dxa"/>
            <w:vAlign w:val="center"/>
          </w:tcPr>
          <w:p>
            <w:pPr>
              <w:jc w:val="both"/>
              <w:pStyle w:val="CellColumn"/>
            </w:pPr>
            <w:r>
              <w:rPr>
                <w:rFonts w:hAnsi="Times New Roman" w:cs="Times New Roman"/>
              </w:rPr>
              <w:t xml:space="preserve">94.800.000</w:t>
            </w:r>
          </w:p>
        </w:tc>
        <w:tc>
          <w:tcPr>
            <w:tcW w:w="1632.96" w:type="dxa"/>
            <w:vAlign w:val="center"/>
          </w:tcPr>
          <w:p>
            <w:pPr>
              <w:jc w:val="both"/>
              <w:pStyle w:val="CellColumn"/>
            </w:pPr>
            <w:r>
              <w:rPr>
                <w:rFonts w:hAnsi="Times New Roman" w:cs="Times New Roman"/>
              </w:rPr>
              <w:t xml:space="preserve">106.900.000</w:t>
            </w:r>
          </w:p>
        </w:tc>
        <w:tc>
          <w:tcPr>
            <w:tcW w:w="510.3" w:type="dxa"/>
            <w:vAlign w:val="center"/>
          </w:tcPr>
          <w:p>
            <w:pPr>
              <w:jc w:val="both"/>
              <w:pStyle w:val="CellColumn"/>
            </w:pPr>
            <w:r>
              <w:rPr>
                <w:rFonts w:hAnsi="Times New Roman" w:cs="Times New Roman"/>
              </w:rPr>
              <w:t xml:space="preserve">95,0</w:t>
            </w:r>
          </w:p>
        </w:tc>
      </w:tr>
    </w:tbl>
    <w:p>
      <w:pPr>
        <w:jc w:val="left"/>
      </w:pPr>
      <w:r>
        <w:rPr>
          <w:rFonts w:hAnsi="Times New Roman" w:cs="Times New Roman"/>
        </w:rPr>
        <w:t xml:space="preserve"/>
      </w:r>
    </w:p>
    <w:p>
      <w:pPr>
        <w:jc w:val="both"/>
        <w:pStyle w:val="Normal"/>
      </w:pPr>
      <w:r>
        <w:rPr>
          <w:rFonts w:hAnsi="Times New Roman" w:cs="Times New Roman"/>
        </w:rPr>
        <w:t xml:space="preserve">Na temelju Zakona o željeznici, naknada za financiranje željezničke infrastrukture uplaćuje se po litri naplaćene trošarine na energente i to u iznosu od 0,03 EUR na račun društva HŽ Infrastruktura d.o.o. (u daljnjem tekstu: HŽI d.o.o.). Naknada se isplaćuje najviše do iznosa koji je za te namjene osiguran u državnom proračunu za pojedinu proračunsku godinu. Navedena aktivnost provodi se kontinuirano dok postoji zakonska obveza.  
</w:t>
      </w:r>
    </w:p>
    <w:p>
      <w:pPr>
        <w:jc w:val="both"/>
        <w:pStyle w:val="Normal"/>
      </w:pPr>
      <w:r>
        <w:rPr>
          <w:rFonts w:hAnsi="Times New Roman" w:cs="Times New Roman"/>
        </w:rPr>
        <w:t xml:space="preserve">Društvo HŽI d.o.o. u narednim godinama planira sredstva utrošiti na podmirenje troškova održavanja željezničke infrastrukture i podmirenje dijela troškova upravljanja društvom HŽI d.o.o. tj. zajedničkih poslova.   
</w:t>
      </w:r>
    </w:p>
    <w:p>
      <w:pPr>
        <w:jc w:val="both"/>
        <w:pStyle w:val="Normal"/>
      </w:pPr>
      <w:r>
        <w:rPr>
          <w:rFonts w:hAnsi="Times New Roman" w:cs="Times New Roman"/>
        </w:rPr>
        <w:t xml:space="preserve">Izgradnjom i investicijskim održavanjem željezničkih pruga značajno se doprinosi povećanju kvalitete željezničke infrastrukture, a samim time dolazi do poboljšanja kvalitete usluge željezničkog prometa (primjerice, smanjuje se zakašnjenje vlakova i povećava se sigurnost željezničkog prometa).   
</w:t>
      </w:r>
    </w:p>
    <w:p>
      <w:pPr>
        <w:jc w:val="both"/>
        <w:pStyle w:val="Normal"/>
      </w:pPr>
      <w:r>
        <w:rPr>
          <w:rFonts w:hAnsi="Times New Roman" w:cs="Times New Roman"/>
        </w:rPr>
        <w:t xml:space="preserve">Planirana proračunska sredstva od naknade u cijeni goriva društvo HŽI d.o.o. iskoristiti će za održavanje tehničko-tehnološke razine postojeće željezničke infrastrukture, za financiranje dijela troškova upravljanja željezničkom infrastrukturom tj. zajedničkih poslova.
</w:t>
      </w:r>
    </w:p>
    <w:p>
      <w:pPr>
        <w:jc w:val="both"/>
        <w:pStyle w:val="Normal"/>
      </w:pPr>
      <w:r>
        <w:rPr>
          <w:rFonts w:hAnsi="Times New Roman" w:cs="Times New Roman"/>
        </w:rPr>
        <w:t xml:space="preserve">Navedena aktivnost provodi se kontinuirano dok postoji zakonska obveza/osnova.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kilometara obnovljenih i moderniziranih pruga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Povećanjem broja km obnovljenih i moderniziranih pruga postiže se viša razina usluge željezničke infrastrukture</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57,88</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170,59</w:t>
            </w:r>
          </w:p>
        </w:tc>
        <w:tc>
          <w:tcPr>
            <w:tcW w:w="918.54" w:type="dxa"/>
            <w:vAlign w:val="center"/>
          </w:tcPr>
          <w:p>
            <w:pPr>
              <w:jc w:val="both"/>
              <w:pStyle w:val="CellColumn"/>
            </w:pPr>
            <w:r>
              <w:rPr>
                <w:rFonts w:hAnsi="Times New Roman" w:cs="Times New Roman"/>
              </w:rPr>
              <w:t xml:space="preserve">160,94</w:t>
            </w:r>
          </w:p>
        </w:tc>
        <w:tc>
          <w:tcPr>
            <w:tcW w:w="918.54" w:type="dxa"/>
            <w:vAlign w:val="center"/>
          </w:tcPr>
          <w:p>
            <w:pPr>
              <w:jc w:val="both"/>
              <w:pStyle w:val="CellColumn"/>
            </w:pPr>
            <w:r>
              <w:rPr>
                <w:rFonts w:hAnsi="Times New Roman" w:cs="Times New Roman"/>
              </w:rPr>
              <w:t xml:space="preserve">68,97</w:t>
            </w:r>
          </w:p>
        </w:tc>
      </w:tr>
    </w:tbl>
    <w:p>
      <w:pPr>
        <w:jc w:val="left"/>
      </w:pPr>
      <w:r>
        <w:rPr>
          <w:rFonts w:hAnsi="Times New Roman" w:cs="Times New Roman"/>
        </w:rPr>
        <w:t xml:space="preserve"/>
      </w:r>
    </w:p>
    <w:p>
      <w:pPr>
        <w:jc w:val="left"/>
        <w:pStyle w:val="Heading4"/>
      </w:pPr>
      <w:r>
        <w:rPr>
          <w:rFonts w:hAnsi="Times New Roman" w:cs="Times New Roman"/>
        </w:rPr>
        <w:t xml:space="preserve">A820082 FINANCIRANJE I SUFINANCIRANJE GRAĐENJA, MODERNIZACIJE I OBNOVE ŽELJEZNIČKE INFRASTRUKTURE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članak 18.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Nacionalni program željezničke infrastrukture za razdoblje od 2016. do 2020. godine  
</w:t>
      </w:r>
    </w:p>
    <w:p>
      <w:pPr>
        <w:jc w:val="both"/>
        <w:pStyle w:val="Normal5"/>
      </w:pPr>
      <w:r>
        <w:rPr>
          <w:rFonts w:hAnsi="Times New Roman" w:cs="Times New Roman"/>
        </w:rPr>
        <w:t xml:space="preserve">- Nacionalna razvojna strategija Republike Hrvatske do 2030. godine (NRS 2030.)  
</w:t>
      </w:r>
    </w:p>
    <w:p>
      <w:pPr>
        <w:jc w:val="both"/>
        <w:pStyle w:val="Normal5"/>
      </w:pPr>
      <w:r>
        <w:rPr>
          <w:rFonts w:hAnsi="Times New Roman" w:cs="Times New Roman"/>
        </w:rPr>
        <w:t xml:space="preserve">- Nacionalni program reformi (NPR 2020.)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usluga željezničkog prijevoza za razdoblje do 2030. godine  
</w:t>
      </w:r>
    </w:p>
    <w:p>
      <w:pPr>
        <w:jc w:val="both"/>
        <w:pStyle w:val="Normal5"/>
      </w:pPr>
      <w:r>
        <w:rPr>
          <w:rFonts w:hAnsi="Times New Roman" w:cs="Times New Roman"/>
        </w:rPr>
        <w:t xml:space="preserve">- Nacionalni plan razvoja željezničke infrastrukture za razdoblje do 2030. godine  
</w:t>
      </w:r>
    </w:p>
    <w:p>
      <w:pPr>
        <w:jc w:val="both"/>
        <w:pStyle w:val="Normal5"/>
      </w:pPr>
      <w:r>
        <w:rPr>
          <w:rFonts w:hAnsi="Times New Roman" w:cs="Times New Roman"/>
        </w:rPr>
        <w:t xml:space="preserve">- Program rješavanja željezničko-cestovnih i pješačkih prijelaza preko pruge za razdoblje od 2023. do 2027. godine 
</w:t>
      </w:r>
    </w:p>
    <w:p>
      <w:pPr>
        <w:jc w:val="both"/>
        <w:pStyle w:val="Normal5"/>
      </w:pPr>
      <w:r>
        <w:rPr>
          <w:rFonts w:hAnsi="Times New Roman" w:cs="Times New Roman"/>
        </w:rPr>
        <w:t xml:space="preserve">- Ugovor o financiranju između Republike Hrvatske i Europske investicijske banke za Projekt „Revitalizacija željezničkog sustava Republike Hrvatske“ iz okvirnog zajma Broj Ugovora (FI br.) 95.797, Operativni broj (Serapis br.) 2022-0660 od 22. siječnja 2024. godine
</w:t>
      </w:r>
    </w:p>
    <w:p>
      <w:pPr>
        <w:jc w:val="both"/>
        <w:pStyle w:val="Normal5"/>
      </w:pPr>
      <w:r>
        <w:rPr>
          <w:rFonts w:hAnsi="Times New Roman" w:cs="Times New Roman"/>
        </w:rPr>
        <w:t xml:space="preserve">- Višegodišnji ugovor o upravljanju željezničkom infrastrukturom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A820082-FINANCIRANJE I SUFINANCIRANJE GRAĐENJA, MODERNIZACIJE I OBNOVE ŽELJEZNIČKE INFRASTRUKTURE</w:t>
            </w:r>
          </w:p>
        </w:tc>
        <w:tc>
          <w:tcPr>
            <w:tcW w:w="1632.96" w:type="dxa"/>
            <w:vAlign w:val="center"/>
          </w:tcPr>
          <w:p>
            <w:pPr>
              <w:jc w:val="both"/>
              <w:pStyle w:val="CellColumn"/>
            </w:pPr>
            <w:r>
              <w:rPr>
                <w:rFonts w:hAnsi="Times New Roman" w:cs="Times New Roman"/>
              </w:rPr>
              <w:t xml:space="preserve">127.479.449</w:t>
            </w:r>
          </w:p>
        </w:tc>
        <w:tc>
          <w:tcPr>
            <w:tcW w:w="1632.96" w:type="dxa"/>
            <w:vAlign w:val="center"/>
          </w:tcPr>
          <w:p>
            <w:pPr>
              <w:jc w:val="both"/>
              <w:pStyle w:val="CellColumn"/>
            </w:pPr>
            <w:r>
              <w:rPr>
                <w:rFonts w:hAnsi="Times New Roman" w:cs="Times New Roman"/>
              </w:rPr>
              <w:t xml:space="preserve">240.577.644</w:t>
            </w:r>
          </w:p>
        </w:tc>
        <w:tc>
          <w:tcPr>
            <w:tcW w:w="1632.96" w:type="dxa"/>
            <w:vAlign w:val="center"/>
          </w:tcPr>
          <w:p>
            <w:pPr>
              <w:jc w:val="both"/>
              <w:pStyle w:val="CellColumn"/>
            </w:pPr>
            <w:r>
              <w:rPr>
                <w:rFonts w:hAnsi="Times New Roman" w:cs="Times New Roman"/>
              </w:rPr>
              <w:t xml:space="preserve">179.087.900</w:t>
            </w:r>
          </w:p>
        </w:tc>
        <w:tc>
          <w:tcPr>
            <w:tcW w:w="1632.96" w:type="dxa"/>
            <w:vAlign w:val="center"/>
          </w:tcPr>
          <w:p>
            <w:pPr>
              <w:jc w:val="both"/>
              <w:pStyle w:val="CellColumn"/>
            </w:pPr>
            <w:r>
              <w:rPr>
                <w:rFonts w:hAnsi="Times New Roman" w:cs="Times New Roman"/>
              </w:rPr>
              <w:t xml:space="preserve">180.345.400</w:t>
            </w:r>
          </w:p>
        </w:tc>
        <w:tc>
          <w:tcPr>
            <w:tcW w:w="1632.96" w:type="dxa"/>
            <w:vAlign w:val="center"/>
          </w:tcPr>
          <w:p>
            <w:pPr>
              <w:jc w:val="both"/>
              <w:pStyle w:val="CellColumn"/>
            </w:pPr>
            <w:r>
              <w:rPr>
                <w:rFonts w:hAnsi="Times New Roman" w:cs="Times New Roman"/>
              </w:rPr>
              <w:t xml:space="preserve">212.000.000</w:t>
            </w:r>
          </w:p>
        </w:tc>
        <w:tc>
          <w:tcPr>
            <w:tcW w:w="510.3" w:type="dxa"/>
            <w:vAlign w:val="center"/>
          </w:tcPr>
          <w:p>
            <w:pPr>
              <w:jc w:val="both"/>
              <w:pStyle w:val="CellColumn"/>
            </w:pPr>
            <w:r>
              <w:rPr>
                <w:rFonts w:hAnsi="Times New Roman" w:cs="Times New Roman"/>
              </w:rPr>
              <w:t xml:space="preserve">74,4</w:t>
            </w:r>
          </w:p>
        </w:tc>
      </w:tr>
    </w:tbl>
    <w:p>
      <w:pPr>
        <w:jc w:val="left"/>
      </w:pPr>
      <w:r>
        <w:rPr>
          <w:rFonts w:hAnsi="Times New Roman" w:cs="Times New Roman"/>
        </w:rPr>
        <w:t xml:space="preserve"/>
      </w:r>
    </w:p>
    <w:p>
      <w:pPr>
        <w:jc w:val="both"/>
        <w:pStyle w:val="Normal"/>
      </w:pPr>
      <w:r>
        <w:rPr>
          <w:rFonts w:hAnsi="Times New Roman" w:cs="Times New Roman"/>
        </w:rPr>
        <w:t xml:space="preserve">Građenje, modernizacija, obnova i održavanje željezničke infrastrukture u interesu je Republike Hrvatske, stoga je Republika Hrvatska dužna osigurati upravitelju, društvu HŽI d.o.o. financijska sredstva za navedenu namjenu. Operativni ciljevi društva HŽI d.o.o. definirani su kroz projekte izgradnje novih, obnove i modernizacije postojećih te projekte održavanja pruga u vlasništvu Republike Hrvatske. Sredstva planirana u okviru ove aktivnosti odnose se na projekte građenja, obnove i modernizacije željezničke infrastrukture u skladu s planom investicija,. Planirana su i sredstva za realizaciju projekata nominiranih za financiranje iz Ugovora o financiranju između Republike Hrvatske i Europske investicijske banke za Projekt »Revitalizacija željezničkog sustava Republike Hrvatske“ (izvor 810), a sukladno dinamičkom planu realizacije odnosno povlačenju sredstava po izvršenju projekata. 
</w:t>
      </w:r>
    </w:p>
    <w:p>
      <w:pPr>
        <w:jc w:val="both"/>
        <w:pStyle w:val="Normal"/>
      </w:pPr>
      <w:r>
        <w:rPr>
          <w:rFonts w:hAnsi="Times New Roman" w:cs="Times New Roman"/>
        </w:rPr>
        <w:t xml:space="preserve">Navedena financijska sredstva će se utrošiti na financiranje i sufinanciranje građenja, modernizacije i obnove željezničke infrastrukture i koristit će se isključivo za troškove provedbe programa obnove i modernizacije pruga za lokalni, regionalni i međunarodni promet, troškove provedbe programa obnove i modernizacije željezničkog čvora Zagreb, troškove programa aktivnosti u funkciji infrastrukture i prometa na mreži kao cjeline, te troškove programa izgradnje novih pruga i kolosijeka, kako slijedi: rješavanje imovinskopravnih odnosa (izvlaštenja, procjene, otkupi, javni bilježnici i dr.), plaćanje pristojbi, naknada, doprinosa, dozvola, priključaka za vodovod, kanalizaciju, plinsku i elektromrežu, certifikate, sporazume, izmjene prostornih planova, usluge projektiranja, tehničku dokumentaciju, troškove izvođenja radova, financiranje utvrđene razlike u cijeni radova, troškove usluge nadzora nad radovima, izradu studijske/projektne dokumentacije, arheološke radove i dokumentaciju, radove na izgradnji/rekonstrukciji kolodvorskih zgrada/parkirališta, vantroškovničke/dodatne radove, troškove rješavanja sporova i povezanih troškova po odlukama o rješavanju sporova, troškove tehničkog pregleda, dodatne kontrole kvalitete materijala i radova, nepriznate troškove u provedbi projekata financiranih iz EU fondova prema odlukama/obavijesti o nepravilnosti, povrate financijskih sredstava za projekte financiranje iz EU fondova, troškove promidžbe i vidljivosti, troškove osiguranja signalno-sigurnosnim uređajima kolodvora i pruga na željezničkoj mreži, troškove nabave strateškog materijala za potrebe podizanja brzine na prugama (tračnice, kolosiječni pribor, tucanik, skretnice), troškove nabave rezervnih dijelova i opreme za potrebe održavanja (zamjena opreme za detekciju vlaka, zamjena elektropostavnih sprava hidrauličnim, obnova kolodvorskih i pružnih signalno-sigurnosnih uređaja, pričuvna oprema za signalno-sigurnosne uređaje, ugradnja registrofona, zamjena željezničkih automatskih centrala (ŽAT centrala), nabava mjernih instrumenata, raznog alata, , pomoćnih strojeva za potrebe građevinskog i elektroenergetskog infrastrukturnog podsustava, zamjena telekomunikacijskih pulteva, zamjena RD stanica (stanice radio-dispečerskog sustava), zamjena besprekidnog napajanja - baterija, nabava motaka polubranika i branika za željezničko-cestovne prijelaze, zamjena cestovnih svjetlosnih signala, zamjena napojnih uređaja, zamjena glavnih signala), troškove nabave nove suvremene strateške i sitne pružne mehanizacije, troškove radova na obnovi tunela, troškovi energetske obnove zgrada, troškovi zbrinjavanja otpadnih pragova (kolosječni, mosni i skretnički), troškovi nabave novog alata za izradu voznog reda, uređenje kolodvorskih zgrada i zgrade u funkciji prometa i sve ostale troškove vezane za provedbu programa/projekata.   
</w:t>
      </w:r>
    </w:p>
    <w:p>
      <w:pPr>
        <w:jc w:val="both"/>
        <w:pStyle w:val="Normal"/>
      </w:pPr>
      <w:r>
        <w:rPr>
          <w:rFonts w:hAnsi="Times New Roman" w:cs="Times New Roman"/>
        </w:rPr>
        <w:t xml:space="preserve">Investicijski projekti u okviru ove aktivnosti će se financirati (izvor 11) po godinama kako slijedi: 
</w:t>
      </w:r>
    </w:p>
    <w:p>
      <w:pPr>
        <w:jc w:val="both"/>
        <w:pStyle w:val="Normal"/>
      </w:pPr>
      <w:r>
        <w:rPr>
          <w:rFonts w:hAnsi="Times New Roman" w:cs="Times New Roman"/>
        </w:rPr>
        <w:t xml:space="preserve">˗	2026. - 52.310.270 EUR 
</w:t>
      </w:r>
    </w:p>
    <w:p>
      <w:pPr>
        <w:jc w:val="both"/>
        <w:pStyle w:val="Normal"/>
      </w:pPr>
      <w:r>
        <w:rPr>
          <w:rFonts w:hAnsi="Times New Roman" w:cs="Times New Roman"/>
        </w:rPr>
        <w:t xml:space="preserve">˗	2027. - 65.061.400 EUR 
</w:t>
      </w:r>
    </w:p>
    <w:p>
      <w:pPr>
        <w:jc w:val="both"/>
        <w:pStyle w:val="Normal"/>
      </w:pPr>
      <w:r>
        <w:rPr>
          <w:rFonts w:hAnsi="Times New Roman" w:cs="Times New Roman"/>
        </w:rPr>
        <w:t xml:space="preserve">˗	2028. - 122.000.000 EUR. 
</w:t>
      </w:r>
    </w:p>
    <w:p>
      <w:pPr>
        <w:jc w:val="both"/>
        <w:pStyle w:val="Normal"/>
      </w:pPr>
      <w:r>
        <w:rPr>
          <w:rFonts w:hAnsi="Times New Roman" w:cs="Times New Roman"/>
        </w:rPr>
        <w:t xml:space="preserve">Investicijski projekti u okviru ove aktivnosti će se financirati (izvor 810) po godinama kako slijedi: 
</w:t>
      </w:r>
    </w:p>
    <w:p>
      <w:pPr>
        <w:jc w:val="both"/>
        <w:pStyle w:val="Normal"/>
      </w:pPr>
      <w:r>
        <w:rPr>
          <w:rFonts w:hAnsi="Times New Roman" w:cs="Times New Roman"/>
        </w:rPr>
        <w:t xml:space="preserve">˗	2026. -  126.777.630 EUR 
</w:t>
      </w:r>
    </w:p>
    <w:p>
      <w:pPr>
        <w:jc w:val="both"/>
        <w:pStyle w:val="Normal"/>
      </w:pPr>
      <w:r>
        <w:rPr>
          <w:rFonts w:hAnsi="Times New Roman" w:cs="Times New Roman"/>
        </w:rPr>
        <w:t xml:space="preserve">˗	2027. -  115.284.000 EUR 
</w:t>
      </w:r>
    </w:p>
    <w:p>
      <w:pPr>
        <w:jc w:val="both"/>
        <w:pStyle w:val="Normal"/>
      </w:pPr>
      <w:r>
        <w:rPr>
          <w:rFonts w:hAnsi="Times New Roman" w:cs="Times New Roman"/>
        </w:rPr>
        <w:t xml:space="preserve">˗	2028. - 90.000.000 EUR.</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završenih projekata (godišnja vrijednost)</w:t>
            </w:r>
          </w:p>
        </w:tc>
        <w:tc>
          <w:tcPr>
            <w:tcW w:w="2245.32" w:type="dxa"/>
            <w:vAlign w:val="center"/>
          </w:tcPr>
          <w:p>
            <w:pPr>
              <w:jc w:val="both"/>
              <w:pStyle w:val="CellColumn"/>
            </w:pPr>
            <w:r>
              <w:rPr>
                <w:rFonts w:hAnsi="Times New Roman" w:cs="Times New Roman"/>
              </w:rPr>
              <w:t xml:space="preserve">Broj završenih projekata za modernizaciju, rekonstrukciju i izgradnju željezničke pruge i unaprjeđenje željezničke infrastrukture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28</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22</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14</w:t>
            </w:r>
          </w:p>
        </w:tc>
      </w:tr>
    </w:tbl>
    <w:p>
      <w:pPr>
        <w:jc w:val="left"/>
      </w:pPr>
      <w:r>
        <w:rPr>
          <w:rFonts w:hAnsi="Times New Roman" w:cs="Times New Roman"/>
        </w:rPr>
        <w:t xml:space="preserve"/>
      </w:r>
    </w:p>
    <w:p>
      <w:pPr>
        <w:jc w:val="left"/>
        <w:pStyle w:val="Heading4"/>
      </w:pPr>
      <w:r>
        <w:rPr>
          <w:rFonts w:hAnsi="Times New Roman" w:cs="Times New Roman"/>
        </w:rPr>
        <w:t xml:space="preserve">T754034 POTPORA TRGOVAČKIM DRUŠTVIMA U JAVNOM SEKTORU U PRIPREMI I PROVEDBI PROJEKATA PLANIRANIH ZA SUFINANCIRANJE IZ EU FONDOVA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članak 18.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Nacionalna razvojna strategija Republike Hrvatske do 2030. godine (NRS 2030.)  
</w:t>
      </w:r>
    </w:p>
    <w:p>
      <w:pPr>
        <w:jc w:val="both"/>
        <w:pStyle w:val="Normal5"/>
      </w:pPr>
      <w:r>
        <w:rPr>
          <w:rFonts w:hAnsi="Times New Roman" w:cs="Times New Roman"/>
        </w:rPr>
        <w:t xml:space="preserve">- Nacionalni program reformi (NPR 2020.)  
</w:t>
      </w:r>
    </w:p>
    <w:p>
      <w:pPr>
        <w:jc w:val="both"/>
        <w:pStyle w:val="Normal5"/>
      </w:pPr>
      <w:r>
        <w:rPr>
          <w:rFonts w:hAnsi="Times New Roman" w:cs="Times New Roman"/>
        </w:rPr>
        <w:t xml:space="preserve">- Operativni program Konkurentnost i kohezija 2014. - 2020. (OPKK)  
</w:t>
      </w:r>
    </w:p>
    <w:p>
      <w:pPr>
        <w:jc w:val="both"/>
        <w:pStyle w:val="Normal5"/>
      </w:pPr>
      <w:r>
        <w:rPr>
          <w:rFonts w:hAnsi="Times New Roman" w:cs="Times New Roman"/>
        </w:rPr>
        <w:t xml:space="preserve">- Program Konkurentnost i kohezija 2021. - 2027. (PKK)  
</w:t>
      </w:r>
    </w:p>
    <w:p>
      <w:pPr>
        <w:jc w:val="both"/>
        <w:pStyle w:val="Normal5"/>
      </w:pPr>
      <w:r>
        <w:rPr>
          <w:rFonts w:hAnsi="Times New Roman" w:cs="Times New Roman"/>
        </w:rPr>
        <w:t xml:space="preserve">- Nacionalni plan oporavka i otpornosti 2021. - 2026.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usluga željezničkog prijevoza za razdoblje do 2030. godine  
</w:t>
      </w:r>
    </w:p>
    <w:p>
      <w:pPr>
        <w:jc w:val="both"/>
        <w:pStyle w:val="Normal5"/>
      </w:pPr>
      <w:r>
        <w:rPr>
          <w:rFonts w:hAnsi="Times New Roman" w:cs="Times New Roman"/>
        </w:rPr>
        <w:t xml:space="preserve">- Nacionalni plan razvoja željezničke infrastrukture za razdoblje do 2030. godine  
</w:t>
      </w:r>
    </w:p>
    <w:p>
      <w:pPr>
        <w:jc w:val="both"/>
        <w:pStyle w:val="Normal5"/>
      </w:pPr>
      <w:r>
        <w:rPr>
          <w:rFonts w:hAnsi="Times New Roman" w:cs="Times New Roman"/>
        </w:rPr>
        <w:t xml:space="preserve">- Program rješavanja željezničko-cestovnih i pješačkih prijelaza preko pruge za razdoblje od 2023. do 2027. godine  
</w:t>
      </w:r>
    </w:p>
    <w:p>
      <w:pPr>
        <w:jc w:val="both"/>
        <w:pStyle w:val="Normal5"/>
      </w:pPr>
      <w:r>
        <w:rPr>
          <w:rFonts w:hAnsi="Times New Roman" w:cs="Times New Roman"/>
        </w:rPr>
        <w:t xml:space="preserve">- Višegodišnji ugovor o upravljanju željezničkom infrastrukturom
</w:t>
      </w:r>
    </w:p>
    <w:p>
      <w:pPr>
        <w:jc w:val="both"/>
        <w:pStyle w:val="Normal5"/>
      </w:pPr>
      <w:r>
        <w:rPr>
          <w:rFonts w:hAnsi="Times New Roman" w:cs="Times New Roman"/>
        </w:rPr>
        <w:t xml:space="preserve">Ugovor o dodjeli bespovratnih sredstava za projekt „Rekonstrukcija postojećeg i izgradnja drugog kolosijeka na dionici Hrvatski Leskovac - Karlovac na željezničkoj pruzi M202 Zagreb Gk - Rijeka, broj KK.07.5.1.09.0001“   
</w:t>
      </w:r>
    </w:p>
    <w:p>
      <w:pPr>
        <w:jc w:val="both"/>
        <w:pStyle w:val="Normal5"/>
      </w:pPr>
      <w:r>
        <w:rPr>
          <w:rFonts w:hAnsi="Times New Roman" w:cs="Times New Roman"/>
        </w:rPr>
        <w:t xml:space="preserve">- Ugovor o dodjeli bespovratnih sredstava za projekt „Rekonstrukcija postojećeg i izgradnja drugog kolosijeka na dionici Hrvatski Leskovac - Karlovac na željezničkoj pruzi M202 Zagreb Gk - Rijeka - 2. faza, broj PK.5.3.07.0002“   
</w:t>
      </w:r>
    </w:p>
    <w:p>
      <w:pPr>
        <w:jc w:val="both"/>
        <w:pStyle w:val="Normal5"/>
      </w:pPr>
      <w:r>
        <w:rPr>
          <w:rFonts w:hAnsi="Times New Roman" w:cs="Times New Roman"/>
        </w:rPr>
        <w:t xml:space="preserve">- Ugovor o dodjeli bespovratnih sredstava za projekt „Izrada studijske i projektne dokumentacije za modernizaciju željezničke pruge M202 Zagreb GK - Rijeka, dionica Karlovac - Oštarije, broj KK.07.5.1.08.0001“  
</w:t>
      </w:r>
    </w:p>
    <w:p>
      <w:pPr>
        <w:jc w:val="both"/>
        <w:pStyle w:val="Normal5"/>
      </w:pPr>
      <w:r>
        <w:rPr>
          <w:rFonts w:hAnsi="Times New Roman" w:cs="Times New Roman"/>
        </w:rPr>
        <w:t xml:space="preserve">- Ugovor o dodjeli bespovratnih sredstava za projekt „Izrada studijske i projektne dokumentacije za modernizaciju željezničke pruge M202 Zagreb GK - Rijeka, dionica Karlovac - Oštarije - 2. faza, broj PK.5.3.06.0001“   
</w:t>
      </w:r>
    </w:p>
    <w:p>
      <w:pPr>
        <w:jc w:val="both"/>
        <w:pStyle w:val="Normal5"/>
      </w:pPr>
      <w:r>
        <w:rPr>
          <w:rFonts w:hAnsi="Times New Roman" w:cs="Times New Roman"/>
        </w:rPr>
        <w:t xml:space="preserve"> - Ugovor o dodjeli bespovratnih sredstava za projekt „Nadogradnja i elektrifikacija postojeće željezničke pruge od značaja za međunarodni promet M601 Vinkovci - Vukovar, KK.07.5.1.05.0001“ 
</w:t>
      </w:r>
    </w:p>
    <w:p>
      <w:pPr>
        <w:jc w:val="both"/>
        <w:pStyle w:val="Normal5"/>
      </w:pPr>
      <w:r>
        <w:rPr>
          <w:rFonts w:hAnsi="Times New Roman" w:cs="Times New Roman"/>
        </w:rPr>
        <w:t xml:space="preserve">- Ugovor o dodjeli bespovratnih sredstava za projekt „Rekonstrukcija postojećeg i izgradnja drugog kolosijeka željezničke pruge na dionici Dugo Selo - Križevci, broj KK.07.5.1.02.0001“  
</w:t>
      </w:r>
    </w:p>
    <w:p>
      <w:pPr>
        <w:jc w:val="both"/>
        <w:pStyle w:val="Normal5"/>
      </w:pPr>
      <w:r>
        <w:rPr>
          <w:rFonts w:hAnsi="Times New Roman" w:cs="Times New Roman"/>
        </w:rPr>
        <w:t xml:space="preserve">- Ugovor o dodjeli bespovratnih sredstava za projekt „Modernizacija i elektrifikacija željezničke pruge Zaprešić - Čakovec (R201) na dionici Zaprešić (isključivo) - Zabok (uključivo), broj KK.07.5.1.03.0001“  
</w:t>
      </w:r>
    </w:p>
    <w:p>
      <w:pPr>
        <w:jc w:val="both"/>
        <w:pStyle w:val="Normal5"/>
      </w:pPr>
      <w:r>
        <w:rPr>
          <w:rFonts w:hAnsi="Times New Roman" w:cs="Times New Roman"/>
        </w:rPr>
        <w:t xml:space="preserve">- Ugovor o dodjeli bespovratnih sredstava za projekt „Projekt osiguranja i modernizacije željezničko-cestovnih prijelaza, broj KK.07.5.1.11.0001“. 
</w:t>
      </w:r>
    </w:p>
    <w:p>
      <w:pPr>
        <w:jc w:val="both"/>
        <w:pStyle w:val="Normal5"/>
      </w:pPr>
      <w:r>
        <w:rPr>
          <w:rFonts w:hAnsi="Times New Roman" w:cs="Times New Roman"/>
        </w:rPr>
        <w:t xml:space="preserve">-Ugovor o dodjeli bespovratnih sredstava za projekt „Projekt osiguranja i modernizacije željezničko-cestovnih prijelaza - II. Faza, broj PK.5.2.07.0001“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T754034-POTPORA TRGOVAČKIM DRUŠTVIMA U JAVNOM SEKTORU U PRIPREMI I PROVEDBI PROJEKATA PLANIRANIH ZA SUFINANCIRANJE IZ EU FONDOVA</w:t>
            </w:r>
          </w:p>
        </w:tc>
        <w:tc>
          <w:tcPr>
            <w:tcW w:w="1632.96" w:type="dxa"/>
            <w:vAlign w:val="center"/>
          </w:tcPr>
          <w:p>
            <w:pPr>
              <w:jc w:val="both"/>
              <w:pStyle w:val="CellColumn"/>
            </w:pPr>
            <w:r>
              <w:rPr>
                <w:rFonts w:hAnsi="Times New Roman" w:cs="Times New Roman"/>
              </w:rPr>
              <w:t xml:space="preserve">7.777.994</w:t>
            </w:r>
          </w:p>
        </w:tc>
        <w:tc>
          <w:tcPr>
            <w:tcW w:w="1632.96" w:type="dxa"/>
            <w:vAlign w:val="center"/>
          </w:tcPr>
          <w:p>
            <w:pPr>
              <w:jc w:val="both"/>
              <w:pStyle w:val="CellColumn"/>
            </w:pPr>
            <w:r>
              <w:rPr>
                <w:rFonts w:hAnsi="Times New Roman" w:cs="Times New Roman"/>
              </w:rPr>
              <w:t xml:space="preserve">5.100.300</w:t>
            </w:r>
          </w:p>
        </w:tc>
        <w:tc>
          <w:tcPr>
            <w:tcW w:w="1632.96" w:type="dxa"/>
            <w:vAlign w:val="center"/>
          </w:tcPr>
          <w:p>
            <w:pPr>
              <w:jc w:val="both"/>
              <w:pStyle w:val="CellColumn"/>
            </w:pPr>
            <w:r>
              <w:rPr>
                <w:rFonts w:hAnsi="Times New Roman" w:cs="Times New Roman"/>
              </w:rPr>
              <w:t xml:space="preserve">16.565.502</w:t>
            </w:r>
          </w:p>
        </w:tc>
        <w:tc>
          <w:tcPr>
            <w:tcW w:w="1632.96" w:type="dxa"/>
            <w:vAlign w:val="center"/>
          </w:tcPr>
          <w:p>
            <w:pPr>
              <w:jc w:val="both"/>
              <w:pStyle w:val="CellColumn"/>
            </w:pPr>
            <w:r>
              <w:rPr>
                <w:rFonts w:hAnsi="Times New Roman" w:cs="Times New Roman"/>
              </w:rPr>
              <w:t xml:space="preserve">4.571.566</w:t>
            </w:r>
          </w:p>
        </w:tc>
        <w:tc>
          <w:tcPr>
            <w:tcW w:w="1632.96" w:type="dxa"/>
            <w:vAlign w:val="center"/>
          </w:tcPr>
          <w:p>
            <w:pPr>
              <w:jc w:val="both"/>
              <w:pStyle w:val="CellColumn"/>
            </w:pPr>
            <w:r>
              <w:rPr>
                <w:rFonts w:hAnsi="Times New Roman" w:cs="Times New Roman"/>
              </w:rPr>
              <w:t xml:space="preserve">1.050.000</w:t>
            </w:r>
          </w:p>
        </w:tc>
        <w:tc>
          <w:tcPr>
            <w:tcW w:w="510.3" w:type="dxa"/>
            <w:vAlign w:val="center"/>
          </w:tcPr>
          <w:p>
            <w:pPr>
              <w:jc w:val="both"/>
              <w:pStyle w:val="CellColumn"/>
            </w:pPr>
            <w:r>
              <w:rPr>
                <w:rFonts w:hAnsi="Times New Roman" w:cs="Times New Roman"/>
              </w:rPr>
              <w:t xml:space="preserve">324,8</w:t>
            </w:r>
          </w:p>
        </w:tc>
      </w:tr>
    </w:tbl>
    <w:p>
      <w:pPr>
        <w:jc w:val="left"/>
      </w:pPr>
      <w:r>
        <w:rPr>
          <w:rFonts w:hAnsi="Times New Roman" w:cs="Times New Roman"/>
        </w:rPr>
        <w:t xml:space="preserve"/>
      </w:r>
    </w:p>
    <w:p>
      <w:pPr>
        <w:jc w:val="both"/>
        <w:pStyle w:val="Normal"/>
      </w:pPr>
      <w:r>
        <w:rPr>
          <w:rFonts w:hAnsi="Times New Roman" w:cs="Times New Roman"/>
        </w:rPr>
        <w:t xml:space="preserve">Navedena aktivnost provodi se kontinuirano u svrhu potpore trgovačkim društvima u javnom sektoru u pripremi i provedbi projekata sufinanciranih iz EU fondova. Za provedbu željezničkih infrastrukturnih projekata (projektiranje i radovi), koji se sufinanciraju iz sredstava EU, potrebno je osigurati financijska sredstva za troškove koji su neprihvatljivi za sufinanciranje iz EU sredstava, prema EU regulativi i uvjetima za prihvatljivost troškova, i/ili osigurati plaćanja iz nacionalnih sredstava za završetak projekata (IPA ugovori i dodaci ugovorima). Financijska sredstava će se koristiti za: rješavanje imovinsko-pravnih odnosa (izvlaštenja, procjene vještaka, otkupi, javni bilježnik), završetak IPA ugovora i dodataka ugovorima, plaćanje pristojbi, naknada, doprinosa, dozvola, priključaka za vodovod, kanalizaciju, plinsku i električnu mrežu, sporazume, izmjenu prostornih planova, usluge projektiranja, izradu tehničke dokumentacije, arheološke radove i dokumentaciju, vantroškovničke/dodatne radove, radove na izgradnji/rekonstrukciji kolodvorskih zgrada/parkirališta, troškove usluge nadzora nad radovima, troškove za rješavanje sporova i povezanih troškova po odlukama o rješavanju sporova, nepriznate troškove u provedbi projekata prema odlukama/obavijesti o nepravilnostima, podmirenje financijskog jaza za projekte financirane iz EU fondova, pojačanje snage u 6 kolodvora za punjenje baterijskih vlakova za primjenu zelenih tehnologija u željezničkom putničkom prijevozu (nositelj HŽPP d.o.o.), financiranje utvrđene razlike u cijeni radova, interne plaće radnika, troškove službenih putovanja i prateće troškove, troškove promidžbe i vidljivosti te ostale neprihvatljive troškove.  
</w:t>
      </w:r>
    </w:p>
    <w:p>
      <w:pPr>
        <w:jc w:val="both"/>
        <w:pStyle w:val="Normal"/>
      </w:pPr>
      <w:r>
        <w:rPr>
          <w:rFonts w:hAnsi="Times New Roman" w:cs="Times New Roman"/>
        </w:rPr>
        <w:t xml:space="preserve">Sukladno Nacionalnom planu oporavka i otpornosti 2021. - 2026. točka C1.4. R2-I6 Primjena zelenih tehnologija u željezničkom putničkom prijevozu, odobren je projekt razvoja baterijskih vlakova.  
</w:t>
      </w:r>
    </w:p>
    <w:p>
      <w:pPr>
        <w:jc w:val="both"/>
        <w:pStyle w:val="Normal"/>
      </w:pPr>
      <w:r>
        <w:rPr>
          <w:rFonts w:hAnsi="Times New Roman" w:cs="Times New Roman"/>
        </w:rPr>
        <w:t xml:space="preserve">Sredstva za navedeni projekt će se u obliku potpore dodjeljivati društvu HŽI d.o.o. za uvođenje zelenih tehnologija - pojačanje snage u kolodvorima za punjenje baterijskih vlakova, a ugovor za nabavu baterijskih vlakova i stabilnih energetskih priključaka za punjenje pogonskih baterija je potpisan početkom 2023. godine od strane društva HŽ Putnički prijevoz d.o.o.. 
</w:t>
      </w:r>
    </w:p>
    <w:p>
      <w:pPr>
        <w:jc w:val="both"/>
        <w:pStyle w:val="Normal"/>
      </w:pPr>
      <w:r>
        <w:rPr>
          <w:rFonts w:hAnsi="Times New Roman" w:cs="Times New Roman"/>
        </w:rPr>
        <w:t xml:space="preserve">Projekt se sastoji od razvoja dva prototipa vlakova (prototip baterijskog elektromotornog vlaka (BEMV) i prototip baterijskoga motornog vlaka (BMV)) te šest stabilnih energetskih priključaka za punjenje pogonskih baterija u kolodvorima Varaždin, Bjelovar, Virovitica, Osijek, Split Predgrađe i Pula. 
</w:t>
      </w:r>
    </w:p>
    <w:p>
      <w:pPr>
        <w:jc w:val="both"/>
        <w:pStyle w:val="Normal"/>
      </w:pPr>
      <w:r>
        <w:rPr>
          <w:rFonts w:hAnsi="Times New Roman" w:cs="Times New Roman"/>
        </w:rPr>
        <w:t xml:space="preserve">Analizom tehničkih karakteristika vlaka, vlaku potrebnih baterija i potrebne brzine punjenja baterija, ustanovljeno je kako ni jedan od navedenih kolodvora nema dovoljnu snagu električne energije (1 MW), kojom bi se putem stabilnih priključaka napunile pogonske baterije navedenih vlakova u traženom vremenu te je nužno od HEP-a dokupiti potrebnu angažiranu snagu. Kroz višegodišnje razdoblje projekta provedbe, potrebno je osigurati ukupno 1.161.086,40 EUR.  
</w:t>
      </w:r>
    </w:p>
    <w:p>
      <w:pPr>
        <w:jc w:val="both"/>
        <w:pStyle w:val="Normal"/>
      </w:pPr>
      <w:r>
        <w:rPr>
          <w:rFonts w:hAnsi="Times New Roman" w:cs="Times New Roman"/>
        </w:rPr>
        <w:t xml:space="preserve">U 2026. godini planirana su sredstva za sljedeće projekte: Nastavak projekata - Rekonstrukcija postojećeg i izgradnja drugog kolosijeka na dionici Hrvatski Leskovac - Karlovac na željezničkoj pruzi M202 Zagreb GK - Rijeka, Izrada studijske i projektne dokumentacije za modernizaciju željezničke pruge M202 Zagreb GK - Rijeka, dionica Karlovac - Oštarije, Rekonstrukcija postojećeg i izgradnja drugog kolosijeka odnosno nove dvokolosiječne pruge na dijelovima željezničke pruge Dugo Selo - Novska, Projekt osiguranja i modernizacije željezničko-cestovnih prijelaza, Izrada projektne i ostale dokumentacije za izgradnju drugog kolosijeka, modernizaciju i obnovu na dionici željezničke pruge Škrljevo - Rijeka - Jurdani, Nadogradnja i elektrifikacija postojeće željezničke pruge od značaja za međunarodni promet M601 Vinkovci - Vukovar, Modernizacija i elektrifikacija željezničke pruge Zaprešić - Čakovec (R201) na dionici Zaprešić (isključivo) - Zabok (uključivo), Rekonstrukcija postojećeg i izgradnja drugog kolosijeka željezničke pruge na dionici Dugo Selo - Križevci.  
</w:t>
      </w:r>
    </w:p>
    <w:p>
      <w:pPr>
        <w:jc w:val="both"/>
        <w:pStyle w:val="Normal"/>
      </w:pPr>
      <w:r>
        <w:rPr>
          <w:rFonts w:hAnsi="Times New Roman" w:cs="Times New Roman"/>
        </w:rPr>
        <w:t xml:space="preserve">U 2027. godini planirana su sredstva za sljedeće projekte: Nastavak projekata - Rekonstrukcija postojećeg i izgradnja drugog kolosijeka na dionici Hrvatski Leskovac - Karlovac na željezničkoj pruzi M202 Zagreb GK - Rijeka, Izrada studijske i projektne dokumentacije za modernizaciju željezničke pruge M202 Zagreb GK - Rijeka, dionica Karlovac - Oštarije, Rekonstrukcija postojećeg i izgradnja drugog kolosijeka odnosno nove dvokolosiječne pruge na dijelovima željezničke pruge Dugo Selo - Novska, Projekt osiguranja i modernizacije željezničko-cestovnih prijelaza, Nadogradnja i elektrifikacija postojeće željezničke pruge od značaja za međunarodni promet M601 Vinkovci - Vukovar, Izrada projektne i ostale dokumentacije za izgradnju drugog kolosijeka, modernizaciju i obnovu na dionici željezničke pruge Škrljevo - Rijeka - Jurdani. 
</w:t>
      </w:r>
    </w:p>
    <w:p>
      <w:pPr>
        <w:jc w:val="both"/>
        <w:pStyle w:val="Normal"/>
      </w:pPr>
      <w:r>
        <w:rPr>
          <w:rFonts w:hAnsi="Times New Roman" w:cs="Times New Roman"/>
        </w:rPr>
        <w:t xml:space="preserve">U 2028. godini planirana su sredstva za sljedeće projekte: Nastavak projekata - Rekonstrukcija postojećeg i izgradnja drugog kolosijeka na dionici Hrvatski Leskovac - Karlovac na željezničkoj pruzi M202 Zagreb GK - Rijeka, Izrada studijske i projektne dokumentacije za modernizaciju željezničke pruge M202 Zagreb GK - Rijeka, dionica Karlovac - Oštarije, Rekonstrukcija postojećeg i izgradnja drugog kolosijeka odnosno nove dvokolosiječne pruge na dijelovima željezničke pruge Dugo Selo - Novska, Projekt osiguranja i modernizacije željezničko-cestovnih prijelaza, Izrada projektne i ostale dokumentacije za izgradnju drugog kolosijeka, modernizaciju i obnovu na dionici željezničke pruge Škrljevo - Rijeka - Jurdani.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Izrađena tehnička dokumentacija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Pripremljena tehnička dokumentacija u cilju osiguranja za apliciranje na pozive za sufinanciranje iz EU sredstava radi daljnjeg nastavka projekta i izvođenja radova za poboljšanja i modernizacije željezničke infrastrukture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Izvedeni radovi na željezničkim prugama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Izvedeni radovi za modernizaciju, rekonstrukciju i izgradnju željezničke pruge i unaprijeđenje željezničke infrastrukture</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42,6</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38,2</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Izvedeni radovi na željezničko-cestovnim prijelazima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Osigurani i modernizirani željezničko-cestovni prijelazi automatskim elektroničkim signalno-sigurnosnim uređajima na prugama za međunarodni, regionalni i lokalni promet</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57</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38</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T754048 POTPORA U PROVEDBI CEF PROJEKATA ŽELJEZNIČKOG SEKTORA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članak 18.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Nacionalna razvojna strategija Republike Hrvatske do 2030. godine (NRS 2030.)  
</w:t>
      </w:r>
    </w:p>
    <w:p>
      <w:pPr>
        <w:jc w:val="both"/>
        <w:pStyle w:val="Normal5"/>
      </w:pPr>
      <w:r>
        <w:rPr>
          <w:rFonts w:hAnsi="Times New Roman" w:cs="Times New Roman"/>
        </w:rPr>
        <w:t xml:space="preserve">- Nacionalni program reformi (NPRR 2020.)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w:t>
      </w:r>
    </w:p>
    <w:p>
      <w:pPr>
        <w:jc w:val="both"/>
        <w:pStyle w:val="Normal5"/>
      </w:pPr>
      <w:r>
        <w:rPr>
          <w:rFonts w:hAnsi="Times New Roman" w:cs="Times New Roman"/>
        </w:rPr>
        <w:t xml:space="preserve">   usluga željezničkog prijevoza za razdoblje do 2030. godine  
</w:t>
      </w:r>
    </w:p>
    <w:p>
      <w:pPr>
        <w:jc w:val="both"/>
        <w:pStyle w:val="Normal5"/>
      </w:pPr>
      <w:r>
        <w:rPr>
          <w:rFonts w:hAnsi="Times New Roman" w:cs="Times New Roman"/>
        </w:rPr>
        <w:t xml:space="preserve">- Nacionalni plan razvoja željezničke infrastrukture za razdoblje do 2030. godine  
</w:t>
      </w:r>
    </w:p>
    <w:p>
      <w:pPr>
        <w:jc w:val="both"/>
        <w:pStyle w:val="Normal5"/>
      </w:pPr>
      <w:r>
        <w:rPr>
          <w:rFonts w:hAnsi="Times New Roman" w:cs="Times New Roman"/>
        </w:rPr>
        <w:t xml:space="preserve">- Program rješavanja željezničko-cestovnih i pješačkih prijelaza preko pruge za razdoblje od    
</w:t>
      </w:r>
    </w:p>
    <w:p>
      <w:pPr>
        <w:jc w:val="both"/>
        <w:pStyle w:val="Normal5"/>
      </w:pPr>
      <w:r>
        <w:rPr>
          <w:rFonts w:hAnsi="Times New Roman" w:cs="Times New Roman"/>
        </w:rPr>
        <w:t xml:space="preserve">   2023. do 2027. godine  
</w:t>
      </w:r>
    </w:p>
    <w:p>
      <w:pPr>
        <w:jc w:val="both"/>
        <w:pStyle w:val="Normal5"/>
      </w:pPr>
      <w:r>
        <w:rPr>
          <w:rFonts w:hAnsi="Times New Roman" w:cs="Times New Roman"/>
        </w:rPr>
        <w:t xml:space="preserve">- Višegodišnji ugovor o upravljanju željezničkom infrastrukturom
</w:t>
      </w:r>
    </w:p>
    <w:p>
      <w:pPr>
        <w:jc w:val="both"/>
        <w:pStyle w:val="Normal5"/>
      </w:pPr>
      <w:r>
        <w:rPr>
          <w:rFonts w:hAnsi="Times New Roman" w:cs="Times New Roman"/>
        </w:rPr>
        <w:t xml:space="preserve">- Sporazum o dodjeli bespovratnih sredstava br. INEA/CEF/TRAN/M2016/1366913 za projekt „Izrada tehničke dokumentacije za modernizaciju željezničke dionice Oštarije - Škrljevo“   
</w:t>
      </w:r>
    </w:p>
    <w:p>
      <w:pPr>
        <w:jc w:val="both"/>
        <w:pStyle w:val="Normal5"/>
      </w:pPr>
      <w:r>
        <w:rPr>
          <w:rFonts w:hAnsi="Times New Roman" w:cs="Times New Roman"/>
        </w:rPr>
        <w:t xml:space="preserve">- Sporazum o dodjeli bespovratnih sredstava br. INEA/CEF/TRAN/M2015/1126931 za projekt „Rekonstrukcija postojećeg i izgradnja drugog kolosijeka željezničke pruge na dionici Križevci - Koprivnica - državna granica“   
</w:t>
      </w:r>
    </w:p>
    <w:p>
      <w:pPr>
        <w:jc w:val="both"/>
        <w:pStyle w:val="Normal5"/>
      </w:pPr>
      <w:r>
        <w:rPr>
          <w:rFonts w:hAnsi="Times New Roman" w:cs="Times New Roman"/>
        </w:rPr>
        <w:t xml:space="preserve">- Sporazum o dodjeli bespovratnih sredstava br. INEA/CEF/TRAN/M2016/1365734 za projekt „Izrada projektne dokumentacije za modernizaciju željezničke dionice Okučani - Vinkovci“   
</w:t>
      </w:r>
    </w:p>
    <w:p>
      <w:pPr>
        <w:jc w:val="both"/>
        <w:pStyle w:val="Normal5"/>
      </w:pPr>
      <w:r>
        <w:rPr>
          <w:rFonts w:hAnsi="Times New Roman" w:cs="Times New Roman"/>
        </w:rPr>
        <w:t xml:space="preserve">- Sporazum o dodjeli bespovratnih sredstava br. INEA/CEF/TRAN/M2019/2097375 za projekt „Poboljšanje željezničke infrastrukture - uspostava sustava praćenja za sigurnost, osiguranje i tehničke kontrole“   
</w:t>
      </w:r>
    </w:p>
    <w:p>
      <w:pPr>
        <w:jc w:val="both"/>
        <w:pStyle w:val="Normal5"/>
      </w:pPr>
      <w:r>
        <w:rPr>
          <w:rFonts w:hAnsi="Times New Roman" w:cs="Times New Roman"/>
        </w:rPr>
        <w:t xml:space="preserve">- Sporazum o dodjeli bespovratnih sredstava br. INEA/CEF/TRAN/M2020/2440898 za projekt „Modernizacija željezničke pruge na dionici Zagreb Glavni kolodvor - Hrvatski Leskovac - izrada dokumentacije“   
</w:t>
      </w:r>
    </w:p>
    <w:p>
      <w:pPr>
        <w:jc w:val="both"/>
        <w:pStyle w:val="Normal5"/>
      </w:pPr>
      <w:r>
        <w:rPr>
          <w:rFonts w:hAnsi="Times New Roman" w:cs="Times New Roman"/>
        </w:rPr>
        <w:t xml:space="preserve">- Sporazum o dodjeli bespovratnih sredstava Projekt 101122629-22-HR-TC-SKRKRTI za Projekt „Izrada idejnog projekta za novu dvokolosiječnu željezničku prugu na dionici Skradnik - Krasica - Tijani“  
</w:t>
      </w:r>
    </w:p>
    <w:p>
      <w:pPr>
        <w:jc w:val="both"/>
        <w:pStyle w:val="Normal5"/>
      </w:pPr>
      <w:r>
        <w:rPr>
          <w:rFonts w:hAnsi="Times New Roman" w:cs="Times New Roman"/>
        </w:rPr>
        <w:t xml:space="preserve">- Sporazum o dodjeli bespovratnih sredstava Projekt 101122716-22-HR-TC-DSNOV za Projekt „Rekonstrukcija  postojećeg i izgradnja drugog kolosijeka željezničke pruge Dugo Selo - Novska na dionici Ivanić Grad - Kutina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T754048-POTPORA U PROVEDBI CEF PROJEKATA ŽELJEZNIČKOG SEKTORA</w:t>
            </w:r>
          </w:p>
        </w:tc>
        <w:tc>
          <w:tcPr>
            <w:tcW w:w="1632.96" w:type="dxa"/>
            <w:vAlign w:val="center"/>
          </w:tcPr>
          <w:p>
            <w:pPr>
              <w:jc w:val="both"/>
              <w:pStyle w:val="CellColumn"/>
            </w:pPr>
            <w:r>
              <w:rPr>
                <w:rFonts w:hAnsi="Times New Roman" w:cs="Times New Roman"/>
              </w:rPr>
              <w:t xml:space="preserve">21.397.296</w:t>
            </w:r>
          </w:p>
        </w:tc>
        <w:tc>
          <w:tcPr>
            <w:tcW w:w="1632.96" w:type="dxa"/>
            <w:vAlign w:val="center"/>
          </w:tcPr>
          <w:p>
            <w:pPr>
              <w:jc w:val="both"/>
              <w:pStyle w:val="CellColumn"/>
            </w:pPr>
            <w:r>
              <w:rPr>
                <w:rFonts w:hAnsi="Times New Roman" w:cs="Times New Roman"/>
              </w:rPr>
              <w:t xml:space="preserve">19.299.700</w:t>
            </w:r>
          </w:p>
        </w:tc>
        <w:tc>
          <w:tcPr>
            <w:tcW w:w="1632.96" w:type="dxa"/>
            <w:vAlign w:val="center"/>
          </w:tcPr>
          <w:p>
            <w:pPr>
              <w:jc w:val="both"/>
              <w:pStyle w:val="CellColumn"/>
            </w:pPr>
            <w:r>
              <w:rPr>
                <w:rFonts w:hAnsi="Times New Roman" w:cs="Times New Roman"/>
              </w:rPr>
              <w:t xml:space="preserve">12.407.000</w:t>
            </w:r>
          </w:p>
        </w:tc>
        <w:tc>
          <w:tcPr>
            <w:tcW w:w="1632.96" w:type="dxa"/>
            <w:vAlign w:val="center"/>
          </w:tcPr>
          <w:p>
            <w:pPr>
              <w:jc w:val="both"/>
              <w:pStyle w:val="CellColumn"/>
            </w:pPr>
            <w:r>
              <w:rPr>
                <w:rFonts w:hAnsi="Times New Roman" w:cs="Times New Roman"/>
              </w:rPr>
              <w:t xml:space="preserve">8.262.000</w:t>
            </w:r>
          </w:p>
        </w:tc>
        <w:tc>
          <w:tcPr>
            <w:tcW w:w="1632.96" w:type="dxa"/>
            <w:vAlign w:val="center"/>
          </w:tcPr>
          <w:p>
            <w:pPr>
              <w:jc w:val="both"/>
              <w:pStyle w:val="CellColumn"/>
            </w:pPr>
            <w:r>
              <w:rPr>
                <w:rFonts w:hAnsi="Times New Roman" w:cs="Times New Roman"/>
              </w:rPr>
              <w:t xml:space="preserve">18.650.000</w:t>
            </w:r>
          </w:p>
        </w:tc>
        <w:tc>
          <w:tcPr>
            <w:tcW w:w="510.3" w:type="dxa"/>
            <w:vAlign w:val="center"/>
          </w:tcPr>
          <w:p>
            <w:pPr>
              <w:jc w:val="both"/>
              <w:pStyle w:val="CellColumn"/>
            </w:pPr>
            <w:r>
              <w:rPr>
                <w:rFonts w:hAnsi="Times New Roman" w:cs="Times New Roman"/>
              </w:rPr>
              <w:t xml:space="preserve">64,3</w:t>
            </w:r>
          </w:p>
        </w:tc>
      </w:tr>
    </w:tbl>
    <w:p>
      <w:pPr>
        <w:jc w:val="left"/>
      </w:pPr>
      <w:r>
        <w:rPr>
          <w:rFonts w:hAnsi="Times New Roman" w:cs="Times New Roman"/>
        </w:rPr>
        <w:t xml:space="preserve"/>
      </w:r>
    </w:p>
    <w:p>
      <w:pPr>
        <w:jc w:val="both"/>
        <w:pStyle w:val="Normal"/>
      </w:pPr>
      <w:r>
        <w:rPr>
          <w:rFonts w:hAnsi="Times New Roman" w:cs="Times New Roman"/>
        </w:rPr>
        <w:t xml:space="preserve">Instrument za povezivanje Europe (Connecting Europe Facility - CEF) je instrument financiranja osnovan za dodatna ulaganja u izgradnju nove te unaprjeđenje postojeće prometne, energetske i telekomunikacijske infrastrukture. Na temelju Zakona o željeznici, članka 18., izvori sredstava za financiranje željezničke infrastrukture su sredstva državnog proračuna za građenje, modernizaciju i obnovu infrastrukture. Navedeni projekt provodi se kontinuirano dok postoji potreba za potporom u provedbi CEF projekata željezničkog sektora. 
</w:t>
      </w:r>
    </w:p>
    <w:p>
      <w:pPr>
        <w:jc w:val="both"/>
        <w:pStyle w:val="Normal"/>
      </w:pPr>
      <w:r>
        <w:rPr>
          <w:rFonts w:hAnsi="Times New Roman" w:cs="Times New Roman"/>
        </w:rPr>
        <w:t xml:space="preserve">Financiranje projekata provodi se putem CEF (Connecting Europe Facility) financiranja. Društvo HŽI d.o.o. u narednim godinama planira koristiti sredstva sukladno odobrenim aktivnostima po pojedinom projektu, a mogu uključivati: troškove radova i nadzora nad radovima, plaćanje usluga projektantu/konzultantu, za interne plaće radnika, troškove službenih putovanja i pratećih troškova, troškove promidžbe i vidljivosti, eksterni project management, vanjske revizore, rješavanje imovinskopravnih odnosa (izvlaštenja, procjene, otkupi, javni bilježnici i dr.), plaćanje pristojbi, naknada, doprinosa, dozvola, priključaka za vodovod, kanalizaciju, plinsku i električnu mrežu, sporazume, izmjenu prostornih planova, usluge projektiranja, izradu tehničke dokumentacije, arheološke radove i dokumentaciju, van troškovničke/dodatne radove, troškove rješavanja sporova i povezanih troškova po odlukama o rješavanju sporova, nepriznate troškove u provedbi projekata koji se financiraju iz CEF-a prema odlukama/obavijesti o nepravilnostima, troškove tehničkog pregleda, gubitke zbog tečajnih razlika, osiguranja dodatnih sredstava sukladno potrebama i dinamici izvođenja projekata, a koji su iznad procijenjene vrijednosti radova iz sporazuma s CINEA-om, radove na rekonstrukciji/izgradnji kolodvorskih zgrada/parkirališta, dodatne kontrole materijala i radova, financiranje utvrđene razlike u cijeni radova te ostale neprihvatljive i prihvatljive troškove.
</w:t>
      </w:r>
    </w:p>
    <w:p>
      <w:pPr>
        <w:jc w:val="both"/>
        <w:pStyle w:val="Normal"/>
      </w:pPr>
      <w:r>
        <w:rPr>
          <w:rFonts w:hAnsi="Times New Roman" w:cs="Times New Roman"/>
        </w:rPr>
        <w:t xml:space="preserve">U 2026. godini planirana su sredstva za sljedeće projekte: Nastavak projekata - Rekonstrukcija postojećeg i izgradnja drugog kolosijeka na dionici Križevci - Koprivnica - DG, Izrada projektne dokumentacije za modernizaciju željezničke dionice Okučani - Vinkovci, Modernizacija željezničke pruge na dionici Zagreb Glavni kolodvor - Hrvatski Leskovac - izrada dokumentacije, Poboljšanje željezničke infrastrukture - uspostava sustava praćenja za sigurnost, osiguranje i tehničke kontrole, Izrada idejnog projekta za novu dvokolosiječnu željezničku prugu na dionici Skradnik - Krasica - Tijani, Rekonstrukcija  postojećeg i izgradnja drugog kolosijeka željezničke pruge Dugo Selo - Novska na dionici Ivanić Grad - Kutina.  
</w:t>
      </w:r>
    </w:p>
    <w:p>
      <w:pPr>
        <w:jc w:val="both"/>
        <w:pStyle w:val="Normal"/>
      </w:pPr>
      <w:r>
        <w:rPr>
          <w:rFonts w:hAnsi="Times New Roman" w:cs="Times New Roman"/>
        </w:rPr>
        <w:t xml:space="preserve">U 2027. godini planirana su sredstva za sljedeće projekte: Nastavak projekata -  Modernizacijaželjezničke dionice Okučani - Vinkovci,  Izrada idejnog projekta za novu dvokolosiječnu željezničku prugu na dionici Skradnik - Krasica - Tijani, Rekonstrukcija  postojećeg i izgradnja drugog kolosijeka željezničke pruge Dugo Selo - Novska na dionici Ivanić Grad – Kutina, Modernizacija željezničke pruge na dionici Zagreb Glavni kolodvor - Hrvatski Leskovac - izrada dokumentacije, Izgradnja drugog kolosijeka, modernizaciju i obnovu na dionici željezničke pruge Škrljevo - Rijeka - Jurdani. 
</w:t>
      </w:r>
    </w:p>
    <w:p>
      <w:pPr>
        <w:jc w:val="both"/>
        <w:pStyle w:val="Normal"/>
      </w:pPr>
      <w:r>
        <w:rPr>
          <w:rFonts w:hAnsi="Times New Roman" w:cs="Times New Roman"/>
        </w:rPr>
        <w:t xml:space="preserve">U 2028. godini planirana su sredstva za sljedeće projekte: Nastavak projekata - Modernizacija željezničke dionice Okučani - Vinkovci,  Rekonstrukcija  postojećeg i izgradnja drugog kolosijeka željezničke pruge Dugo Selo - Novska na dionici Ivanić Grad – Kutina, Modernizacija željezničke pruge na dionici Zagreb Glavni kolodvor - Hrvatski Leskovac - izrada dokumentacije, Izgradnja drugog kolosijeka, modernizaciju i obnovu na dionici željezničke pruge Škrljevo - Rijeka - Jurdani.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Izrađena tehnička dokumentacija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Priprema tehničke dokumentacije u cilju osiguranja za apliciranje na pozive za sufinanciranje iz EU sredstava radi daljnjeg nastavka projekta i izvođenja radova za poboljšanje željezničke infrastrukture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Izvedeni radovi na željezničkim prugama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Izvedeni radovi za modernizaciju, rekonstrukciju i izgradnju željezničke pruge i unaprjeđenje željezničke infrastrukture</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42,6</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Broj ugrađenih mjernim stanicama</w:t>
            </w:r>
          </w:p>
        </w:tc>
        <w:tc>
          <w:tcPr>
            <w:tcW w:w="2245.32" w:type="dxa"/>
            <w:vAlign w:val="center"/>
          </w:tcPr>
          <w:p>
            <w:pPr>
              <w:jc w:val="both"/>
              <w:pStyle w:val="CellColumn"/>
            </w:pPr>
            <w:r>
              <w:rPr>
                <w:rFonts w:hAnsi="Times New Roman" w:cs="Times New Roman"/>
              </w:rPr>
              <w:t xml:space="preserve">Broj lokacija na prugama RH s ugrađenim mjernim stanicama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T754054 PRILAGODBA ŽELJEZNIČKIH GRANIČNIH PRIJELAZA ZA PROVEDBU SCHENGENSKE PRAVNE STEČEVINE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Nacionalna razvojna strategija Republike Hrvatske do 2030. godine (NRS 2030.)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usluga željezničkog prijevoza za razdoblje do 2030. godine  
</w:t>
      </w:r>
    </w:p>
    <w:p>
      <w:pPr>
        <w:jc w:val="both"/>
        <w:pStyle w:val="Normal5"/>
      </w:pPr>
      <w:r>
        <w:rPr>
          <w:rFonts w:hAnsi="Times New Roman" w:cs="Times New Roman"/>
        </w:rPr>
        <w:t xml:space="preserve">- Nacionalni plan razvoja željezničke infrastrukture za razdoblje do 2030. godine  
</w:t>
      </w:r>
    </w:p>
    <w:p>
      <w:pPr>
        <w:jc w:val="both"/>
        <w:pStyle w:val="Normal5"/>
      </w:pPr>
      <w:r>
        <w:rPr>
          <w:rFonts w:hAnsi="Times New Roman" w:cs="Times New Roman"/>
        </w:rPr>
        <w:t xml:space="preserve">- Višegodišnji ugovor o upravljanju željezničkom infrastrukturom
</w:t>
      </w:r>
    </w:p>
    <w:p>
      <w:pPr>
        <w:jc w:val="both"/>
        <w:pStyle w:val="Normal5"/>
      </w:pPr>
      <w:r>
        <w:rPr>
          <w:rFonts w:hAnsi="Times New Roman" w:cs="Times New Roman"/>
        </w:rPr>
        <w:t xml:space="preserve">- Strategija integriranog upravljanja granicom RH   
</w:t>
      </w:r>
    </w:p>
    <w:p>
      <w:pPr>
        <w:jc w:val="both"/>
        <w:pStyle w:val="Normal5"/>
      </w:pPr>
      <w:r>
        <w:rPr>
          <w:rFonts w:hAnsi="Times New Roman" w:cs="Times New Roman"/>
        </w:rPr>
        <w:t xml:space="preserve">- Zakon o nadzoru državne granice   
</w:t>
      </w:r>
    </w:p>
    <w:p>
      <w:pPr>
        <w:jc w:val="both"/>
        <w:pStyle w:val="Normal5"/>
      </w:pPr>
      <w:r>
        <w:rPr>
          <w:rFonts w:hAnsi="Times New Roman" w:cs="Times New Roman"/>
        </w:rPr>
        <w:t xml:space="preserve">- Uredba o graničnim prijelazima RH   
</w:t>
      </w:r>
    </w:p>
    <w:p>
      <w:pPr>
        <w:jc w:val="both"/>
        <w:pStyle w:val="Normal5"/>
      </w:pPr>
      <w:r>
        <w:rPr>
          <w:rFonts w:hAnsi="Times New Roman" w:cs="Times New Roman"/>
        </w:rPr>
        <w:t xml:space="preserve">- Uredba o standardima koje moraju ispunjavati granični prijelazi za učinkovito i sigurno obavljanje granične kontrole   
</w:t>
      </w:r>
    </w:p>
    <w:p>
      <w:pPr>
        <w:jc w:val="both"/>
        <w:pStyle w:val="Normal5"/>
      </w:pPr>
      <w:r>
        <w:rPr>
          <w:rFonts w:hAnsi="Times New Roman" w:cs="Times New Roman"/>
        </w:rPr>
        <w:t xml:space="preserve">- Uredba o graničnim prijelazima  
</w:t>
      </w:r>
    </w:p>
    <w:p>
      <w:pPr>
        <w:jc w:val="both"/>
        <w:pStyle w:val="Normal5"/>
      </w:pPr>
      <w:r>
        <w:rPr>
          <w:rFonts w:hAnsi="Times New Roman" w:cs="Times New Roman"/>
        </w:rPr>
        <w:t xml:space="preserve">- Pojedinačna Rješenja o određivanju područja za svaki od graničnih prijelaza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T754054-PRILAGODBA ŽELJEZNIČKIH GRANIČNIH PRIJELAZA ZA PROVEDBU SCHENGENSKE PRAVNE STEČEVINE</w:t>
            </w:r>
          </w:p>
        </w:tc>
        <w:tc>
          <w:tcPr>
            <w:tcW w:w="1632.96" w:type="dxa"/>
            <w:vAlign w:val="center"/>
          </w:tcPr>
          <w:p>
            <w:pPr>
              <w:jc w:val="both"/>
              <w:pStyle w:val="CellColumn"/>
            </w:pPr>
            <w:r>
              <w:rPr>
                <w:rFonts w:hAnsi="Times New Roman" w:cs="Times New Roman"/>
              </w:rPr>
              <w:t xml:space="preserve">1.704.212</w:t>
            </w:r>
          </w:p>
        </w:tc>
        <w:tc>
          <w:tcPr>
            <w:tcW w:w="1632.96" w:type="dxa"/>
            <w:vAlign w:val="center"/>
          </w:tcPr>
          <w:p>
            <w:pPr>
              <w:jc w:val="both"/>
              <w:pStyle w:val="CellColumn"/>
            </w:pPr>
            <w:r>
              <w:rPr>
                <w:rFonts w:hAnsi="Times New Roman" w:cs="Times New Roman"/>
              </w:rPr>
              <w:t xml:space="preserve">1.550.000</w:t>
            </w:r>
          </w:p>
        </w:tc>
        <w:tc>
          <w:tcPr>
            <w:tcW w:w="1632.96" w:type="dxa"/>
            <w:vAlign w:val="center"/>
          </w:tcPr>
          <w:p>
            <w:pPr>
              <w:jc w:val="both"/>
              <w:pStyle w:val="CellColumn"/>
            </w:pPr>
            <w:r>
              <w:rPr>
                <w:rFonts w:hAnsi="Times New Roman" w:cs="Times New Roman"/>
              </w:rPr>
              <w:t xml:space="preserve">2.500.000</w:t>
            </w:r>
          </w:p>
        </w:tc>
        <w:tc>
          <w:tcPr>
            <w:tcW w:w="1632.96" w:type="dxa"/>
            <w:vAlign w:val="center"/>
          </w:tcPr>
          <w:p>
            <w:pPr>
              <w:jc w:val="both"/>
              <w:pStyle w:val="CellColumn"/>
            </w:pPr>
            <w:r>
              <w:rPr>
                <w:rFonts w:hAnsi="Times New Roman" w:cs="Times New Roman"/>
              </w:rPr>
              <w:t xml:space="preserve">3.555.000</w:t>
            </w:r>
          </w:p>
        </w:tc>
        <w:tc>
          <w:tcPr>
            <w:tcW w:w="1632.96" w:type="dxa"/>
            <w:vAlign w:val="center"/>
          </w:tcPr>
          <w:p>
            <w:pPr>
              <w:jc w:val="both"/>
              <w:pStyle w:val="CellColumn"/>
            </w:pPr>
            <w:r>
              <w:rPr>
                <w:rFonts w:hAnsi="Times New Roman" w:cs="Times New Roman"/>
              </w:rPr>
              <w:t xml:space="preserve">1.600.000</w:t>
            </w:r>
          </w:p>
        </w:tc>
        <w:tc>
          <w:tcPr>
            <w:tcW w:w="510.3" w:type="dxa"/>
            <w:vAlign w:val="center"/>
          </w:tcPr>
          <w:p>
            <w:pPr>
              <w:jc w:val="both"/>
              <w:pStyle w:val="CellColumn"/>
            </w:pPr>
            <w:r>
              <w:rPr>
                <w:rFonts w:hAnsi="Times New Roman" w:cs="Times New Roman"/>
              </w:rPr>
              <w:t xml:space="preserve">161,3</w:t>
            </w:r>
          </w:p>
        </w:tc>
      </w:tr>
    </w:tbl>
    <w:p>
      <w:pPr>
        <w:jc w:val="left"/>
      </w:pPr>
      <w:r>
        <w:rPr>
          <w:rFonts w:hAnsi="Times New Roman" w:cs="Times New Roman"/>
        </w:rPr>
        <w:t xml:space="preserve"/>
      </w:r>
    </w:p>
    <w:p>
      <w:pPr>
        <w:jc w:val="both"/>
        <w:pStyle w:val="Normal"/>
      </w:pPr>
      <w:r>
        <w:rPr>
          <w:rFonts w:hAnsi="Times New Roman" w:cs="Times New Roman"/>
        </w:rPr>
        <w:t xml:space="preserve">U cilju pripreme odnosno ulaska u Schengenski prostor, RH mora osigurati učinkovitu provedbu schengenske pravne stečevine i provesti potrebne aktivnosti izgradnje institucionalnih i infrastrukturnih kapaciteta.  
</w:t>
      </w:r>
    </w:p>
    <w:p>
      <w:pPr>
        <w:jc w:val="both"/>
        <w:pStyle w:val="Normal"/>
      </w:pPr>
      <w:r>
        <w:rPr>
          <w:rFonts w:hAnsi="Times New Roman" w:cs="Times New Roman"/>
        </w:rPr>
        <w:t xml:space="preserve">U skladu sa Strategijom integriranog upravljanja granicom te Akcijskim planom, ovim aktivnostima obuhvaćena je i potreba prilagodbe željezničkih graničnih prijelaza za provedbu schengenske pravne stečevine kojom će se osigurati implementacija specifičnih zahtjeva u segmentu granične kontrole i infrastrukture u dijelu željezničkih graničnih prijelaza (prilagodba kolosijeka, izgradnja perona, izgradnja zgrada/uređenje prostorija na kolodvorima za potrebe granične kontrole: MUP-a, Ministarstva financija, Carinske uprave). Za isto je potrebno izvršiti prilagodbu u dijelu građevinskog, elektroenergetskog, prometno-upravljačkog i signalno-sigurnosnog infrastrukturnog podsustava, kao i u dijelu ostalih funkcionalnih dijelova željezničke infrastrukture na kolodvorima, a sve u ovisnosti od postojećeg stanja graničnog kolodvora).   
</w:t>
      </w:r>
    </w:p>
    <w:p>
      <w:pPr>
        <w:jc w:val="both"/>
        <w:pStyle w:val="Normal"/>
      </w:pPr>
      <w:r>
        <w:rPr>
          <w:rFonts w:hAnsi="Times New Roman" w:cs="Times New Roman"/>
        </w:rPr>
        <w:t xml:space="preserve">Aktivnostima prilagodbe za provedbu schengenske pravne stečevine obuhvaćeni su sljedeći željeznički kolodvori: Erdut, Tovarnik, Drenovci, Slavonski Šamac, Volinja i Metković.</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prilagođenih željezničkih graničnih prijelaza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Provedene privremene mjere prilagodbe željezničkih graničnih prijelaza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2</w:t>
            </w:r>
          </w:p>
        </w:tc>
      </w:tr>
    </w:tbl>
    <w:p>
      <w:pPr>
        <w:jc w:val="left"/>
      </w:pPr>
      <w:r>
        <w:rPr>
          <w:rFonts w:hAnsi="Times New Roman" w:cs="Times New Roman"/>
        </w:rPr>
        <w:t xml:space="preserve"/>
      </w:r>
    </w:p>
    <w:p>
      <w:pPr>
        <w:jc w:val="left"/>
        <w:pStyle w:val="Heading4"/>
      </w:pPr>
      <w:r>
        <w:rPr>
          <w:rFonts w:hAnsi="Times New Roman" w:cs="Times New Roman"/>
        </w:rPr>
        <w:t xml:space="preserve">T819086 PROGRAM SANACIJE ONEČIŠĆENJA OKOLIŠA NA LOKACIJI "PRAONICE VAGONA I DEZINFEKCIJE STANICE U BOTOVU"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zaštiti okoliša
</w:t>
      </w:r>
    </w:p>
    <w:p>
      <w:pPr>
        <w:jc w:val="both"/>
        <w:pStyle w:val="Normal5"/>
      </w:pPr>
      <w:r>
        <w:rPr>
          <w:rFonts w:hAnsi="Times New Roman" w:cs="Times New Roman"/>
        </w:rPr>
        <w:t xml:space="preserve">- Zakon o željeznici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T819086-PROGRAM SANACIJE ONEČIŠĆENJA OKOLIŠA NA LOKACIJI "PRAONICE VAGONA I DEZINFEKCIJE STANICE U BOTOVU"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130.000</w:t>
            </w:r>
          </w:p>
        </w:tc>
        <w:tc>
          <w:tcPr>
            <w:tcW w:w="1632.96" w:type="dxa"/>
            <w:vAlign w:val="center"/>
          </w:tcPr>
          <w:p>
            <w:pPr>
              <w:jc w:val="both"/>
              <w:pStyle w:val="CellColumn"/>
            </w:pPr>
            <w:r>
              <w:rPr>
                <w:rFonts w:hAnsi="Times New Roman" w:cs="Times New Roman"/>
              </w:rPr>
              <w:t xml:space="preserve">1.170.000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900,0</w:t>
            </w:r>
          </w:p>
        </w:tc>
      </w:tr>
    </w:tbl>
    <w:p>
      <w:pPr>
        <w:jc w:val="left"/>
      </w:pPr>
      <w:r>
        <w:rPr>
          <w:rFonts w:hAnsi="Times New Roman" w:cs="Times New Roman"/>
        </w:rPr>
        <w:t xml:space="preserve"/>
      </w:r>
    </w:p>
    <w:p>
      <w:pPr>
        <w:jc w:val="both"/>
        <w:pStyle w:val="Normal"/>
      </w:pPr>
      <w:r>
        <w:rPr>
          <w:rFonts w:hAnsi="Times New Roman" w:cs="Times New Roman"/>
        </w:rPr>
        <w:t xml:space="preserve">Planom gospodarenja otpadom Republike Hrvatske za razdoblje od 2023. – 2028. godine praonica vagona je svrstana u „crne točke“ odnosno lokaciju u okolišu visoko opterećenu otpadom. Kao preduvjet za sanaciju, potrebno je provesti dodatne istražne radove poradi utvrđivanja točne količine onečišćenog tla (šljunka i pijeska), vrste i stupnja onečišćenja te procjene opsega onečišćenja podzemnih voda na lokaciji „Praonice vagona i dezinsekcijske stanice u Botovu“.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Udio isplaćenih sredstava u ukupno planiranom iznosu</w:t>
            </w:r>
          </w:p>
        </w:tc>
        <w:tc>
          <w:tcPr>
            <w:tcW w:w="2245.32" w:type="dxa"/>
            <w:vAlign w:val="center"/>
          </w:tcPr>
          <w:p>
            <w:pPr>
              <w:jc w:val="both"/>
              <w:pStyle w:val="CellColumn"/>
            </w:pPr>
            <w:r>
              <w:rPr>
                <w:rFonts w:hAnsi="Times New Roman" w:cs="Times New Roman"/>
              </w:rPr>
              <w:t xml:space="preserve">Udio isplaćenih sredstava u odnosu na ukupan iznos odobren proračunom za navedenu namjenu od strane Republike Hrvatske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T821082 POTPORA U PROVEDBI NPOO PROJEKATA ŽELJEZNIČKOG SEKTORA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članak 18.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Nacionalna razvojna strategija Republike Hrvatske do 2030. godine (NRS 2030.) 
</w:t>
      </w:r>
    </w:p>
    <w:p>
      <w:pPr>
        <w:jc w:val="both"/>
        <w:pStyle w:val="Normal5"/>
      </w:pPr>
      <w:r>
        <w:rPr>
          <w:rFonts w:hAnsi="Times New Roman" w:cs="Times New Roman"/>
        </w:rPr>
        <w:t xml:space="preserve">- Nacionalni program reformi (NPR 2020.)
</w:t>
      </w:r>
    </w:p>
    <w:p>
      <w:pPr>
        <w:jc w:val="both"/>
        <w:pStyle w:val="Normal5"/>
      </w:pPr>
      <w:r>
        <w:rPr>
          <w:rFonts w:hAnsi="Times New Roman" w:cs="Times New Roman"/>
        </w:rPr>
        <w:t xml:space="preserve">- Nacionalni plan oporavka i otpornosti 2021. - 2026.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usluga željezničkog prijevoza za razdoblje do 2030. godine 
</w:t>
      </w:r>
    </w:p>
    <w:p>
      <w:pPr>
        <w:jc w:val="both"/>
        <w:pStyle w:val="Normal5"/>
      </w:pPr>
      <w:r>
        <w:rPr>
          <w:rFonts w:hAnsi="Times New Roman" w:cs="Times New Roman"/>
        </w:rPr>
        <w:t xml:space="preserve">- Nacionalni plan razvoja željezničke infrastrukture za razdoblje do 2030. godine 
</w:t>
      </w:r>
    </w:p>
    <w:p>
      <w:pPr>
        <w:jc w:val="both"/>
        <w:pStyle w:val="Normal5"/>
      </w:pPr>
      <w:r>
        <w:rPr>
          <w:rFonts w:hAnsi="Times New Roman" w:cs="Times New Roman"/>
        </w:rPr>
        <w:t xml:space="preserve">- Ugovor o dodjeli bespovratnih sredstava za projekte financirane iz Nacionalnog plana oporavka i otpornosti 2021. - 2026. (NPOO) za  Projekt „Uklanjanje "uskih grla" na željezničkoj infrastrukturi“; referentni broj: NPOO.C1.4.R2-I3.01.0001
</w:t>
      </w:r>
    </w:p>
    <w:p>
      <w:pPr>
        <w:jc w:val="both"/>
        <w:pStyle w:val="Normal5"/>
      </w:pPr>
      <w:r>
        <w:rPr>
          <w:rFonts w:hAnsi="Times New Roman" w:cs="Times New Roman"/>
        </w:rPr>
        <w:t xml:space="preserve">- Ugovor o dodjeli bespovratnih sredstava za projekte financirane iz Nacionalnog plana oporavka i otpornosti 2021. - 2026. (NPOO) za Projekt „Modernizacija dionice Zagreb Kustošija - Zagreb ZK - Zagreb GK“; referentni broj: NPOO.C1.4.R2-I4.01.0001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T821082-POTPORA U PROVEDBI NPOO PROJEKATA ŽELJEZNIČKOG SEKTORA</w:t>
            </w:r>
          </w:p>
        </w:tc>
        <w:tc>
          <w:tcPr>
            <w:tcW w:w="1632.96" w:type="dxa"/>
            <w:vAlign w:val="center"/>
          </w:tcPr>
          <w:p>
            <w:pPr>
              <w:jc w:val="both"/>
              <w:pStyle w:val="CellColumn"/>
            </w:pPr>
            <w:r>
              <w:rPr>
                <w:rFonts w:hAnsi="Times New Roman" w:cs="Times New Roman"/>
              </w:rPr>
              <w:t xml:space="preserve">803.750</w:t>
            </w:r>
          </w:p>
        </w:tc>
        <w:tc>
          <w:tcPr>
            <w:tcW w:w="1632.96" w:type="dxa"/>
            <w:vAlign w:val="center"/>
          </w:tcPr>
          <w:p>
            <w:pPr>
              <w:jc w:val="both"/>
              <w:pStyle w:val="CellColumn"/>
            </w:pPr>
            <w:r>
              <w:rPr>
                <w:rFonts w:hAnsi="Times New Roman" w:cs="Times New Roman"/>
              </w:rPr>
              <w:t xml:space="preserve">2.500.000</w:t>
            </w:r>
          </w:p>
        </w:tc>
        <w:tc>
          <w:tcPr>
            <w:tcW w:w="1632.96" w:type="dxa"/>
            <w:vAlign w:val="center"/>
          </w:tcPr>
          <w:p>
            <w:pPr>
              <w:jc w:val="both"/>
              <w:pStyle w:val="CellColumn"/>
            </w:pPr>
            <w:r>
              <w:rPr>
                <w:rFonts w:hAnsi="Times New Roman" w:cs="Times New Roman"/>
              </w:rPr>
              <w:t xml:space="preserve">3.750.000</w:t>
            </w:r>
          </w:p>
        </w:tc>
        <w:tc>
          <w:tcPr>
            <w:tcW w:w="1632.96" w:type="dxa"/>
            <w:vAlign w:val="center"/>
          </w:tcPr>
          <w:p>
            <w:pPr>
              <w:jc w:val="both"/>
              <w:pStyle w:val="CellColumn"/>
            </w:pPr>
            <w:r>
              <w:rPr>
                <w:rFonts w:hAnsi="Times New Roman" w:cs="Times New Roman"/>
              </w:rPr>
              <w:t xml:space="preserve">17.400.000</w:t>
            </w:r>
          </w:p>
        </w:tc>
        <w:tc>
          <w:tcPr>
            <w:tcW w:w="1632.96" w:type="dxa"/>
            <w:vAlign w:val="center"/>
          </w:tcPr>
          <w:p>
            <w:pPr>
              <w:jc w:val="both"/>
              <w:pStyle w:val="CellColumn"/>
            </w:pPr>
            <w:r>
              <w:rPr>
                <w:rFonts w:hAnsi="Times New Roman" w:cs="Times New Roman"/>
              </w:rPr>
              <w:t xml:space="preserve">13.000.000</w:t>
            </w:r>
          </w:p>
        </w:tc>
        <w:tc>
          <w:tcPr>
            <w:tcW w:w="510.3" w:type="dxa"/>
            <w:vAlign w:val="center"/>
          </w:tcPr>
          <w:p>
            <w:pPr>
              <w:jc w:val="both"/>
              <w:pStyle w:val="CellColumn"/>
            </w:pPr>
            <w:r>
              <w:rPr>
                <w:rFonts w:hAnsi="Times New Roman" w:cs="Times New Roman"/>
              </w:rPr>
              <w:t xml:space="preserve">150,0</w:t>
            </w:r>
          </w:p>
        </w:tc>
      </w:tr>
    </w:tbl>
    <w:p>
      <w:pPr>
        <w:jc w:val="left"/>
      </w:pPr>
      <w:r>
        <w:rPr>
          <w:rFonts w:hAnsi="Times New Roman" w:cs="Times New Roman"/>
        </w:rPr>
        <w:t xml:space="preserve"/>
      </w:r>
    </w:p>
    <w:p>
      <w:pPr>
        <w:jc w:val="both"/>
        <w:pStyle w:val="Normal"/>
      </w:pPr>
      <w:r>
        <w:rPr>
          <w:rFonts w:hAnsi="Times New Roman" w:cs="Times New Roman"/>
        </w:rPr>
        <w:t xml:space="preserve">Sukladno Nacionalnom planu oporavka i otpornosti 2021. - 2026., točka C1.4.R2-I3, Projekt Uklanjanje „uskih grla“ na željezničkoj infrastrukturi prihvaćen je za financiranje. Projekt obuhvaća izgradnju i rekonstrukciju objekata željezničke infrastrukture (mostova, vijadukata, propusta i usjeka) na željezničkoj mreži s ciljem poboljšanja infrastrukture, čime će se omogućiti povećanje sigurnosti željezničkog prometa i povećati kvaliteta željezničke mreže.  
</w:t>
      </w:r>
    </w:p>
    <w:p>
      <w:pPr>
        <w:jc w:val="both"/>
        <w:pStyle w:val="Normal"/>
      </w:pPr>
      <w:r>
        <w:rPr>
          <w:rFonts w:hAnsi="Times New Roman" w:cs="Times New Roman"/>
        </w:rPr>
        <w:t xml:space="preserve">Radovi uklanjanja „uskih grla“ najvećim će se dijelom provesti na dionicama koje pripadaju TEN-T mreži, ali i na dionicama izvan TEN-T mreže. Rješavanjem uskih grla na željezničkoj mreži Hrvatske, značajno će se povećati brzina prometovanja, povećati sigurnost željezničkog prometa i poboljšati željeznička mreža, sukladno EU direktivama te Tehničkim specifikacijama za interoperabilnost (TSI).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Uklonjena „uska grla“ na dionicama s trenutačnim ograničenjem brzine prometovanja od 60 km/h
</w:t>
            </w:r>
          </w:p>
          <w:p>
            <w:pPr>
              <w:jc w:val="both"/>
              <w:pStyle w:val="CellColumn"/>
            </w:pPr>
            <w:r>
              <w:rPr>
                <w:rFonts w:hAnsi="Times New Roman" w:cs="Times New Roman"/>
              </w:rPr>
              <w:t xml:space="preserve">(godišnja vrijednost)</w:t>
            </w:r>
          </w:p>
        </w:tc>
        <w:tc>
          <w:tcPr>
            <w:tcW w:w="2245.32" w:type="dxa"/>
            <w:vAlign w:val="center"/>
          </w:tcPr>
          <w:p>
            <w:pPr>
              <w:jc w:val="both"/>
              <w:pStyle w:val="CellColumn"/>
            </w:pPr>
            <w:r>
              <w:rPr>
                <w:rFonts w:hAnsi="Times New Roman" w:cs="Times New Roman"/>
              </w:rPr>
              <w:t xml:space="preserve">Izvedeni radovi na uklanjanju „uskih grla“ s ciljem povećanje brzine prometovanja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34</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11</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w:t>
            </w:r>
          </w:p>
        </w:tc>
      </w:tr>
    </w:tbl>
    <w:p>
      <w:pPr>
        <w:jc w:val="left"/>
      </w:pPr>
      <w:r>
        <w:rPr>
          <w:rFonts w:hAnsi="Times New Roman" w:cs="Times New Roman"/>
        </w:rPr>
        <w:t xml:space="preserve"/>
      </w:r>
    </w:p>
    <w:p>
      <w:pPr>
        <w:jc w:val="left"/>
        <w:pStyle w:val="Heading3"/>
      </w:pPr>
      <w:r>
        <w:rPr>
          <w:rFonts w:hAnsi="Times New Roman" w:cs="Times New Roman"/>
        </w:rPr>
        <w:t xml:space="preserve">3115 RAZVOJ UNUTARNJE PLOVIDBE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3115-RAZVOJ UNUTARNJE PLOVIDBE</w:t>
            </w:r>
          </w:p>
        </w:tc>
        <w:tc>
          <w:tcPr>
            <w:tcW w:w="1632.96" w:type="dxa"/>
            <w:vAlign w:val="center"/>
          </w:tcPr>
          <w:p>
            <w:pPr>
              <w:jc w:val="both"/>
              <w:pStyle w:val="CellColumn"/>
            </w:pPr>
            <w:r>
              <w:rPr>
                <w:rFonts w:hAnsi="Times New Roman" w:cs="Times New Roman"/>
              </w:rPr>
              <w:t xml:space="preserve">3.296.736</w:t>
            </w:r>
          </w:p>
        </w:tc>
        <w:tc>
          <w:tcPr>
            <w:tcW w:w="1632.96" w:type="dxa"/>
            <w:vAlign w:val="center"/>
          </w:tcPr>
          <w:p>
            <w:pPr>
              <w:jc w:val="both"/>
              <w:pStyle w:val="CellColumn"/>
            </w:pPr>
            <w:r>
              <w:rPr>
                <w:rFonts w:hAnsi="Times New Roman" w:cs="Times New Roman"/>
              </w:rPr>
              <w:t xml:space="preserve">5.910.615</w:t>
            </w:r>
          </w:p>
        </w:tc>
        <w:tc>
          <w:tcPr>
            <w:tcW w:w="1632.96" w:type="dxa"/>
            <w:vAlign w:val="center"/>
          </w:tcPr>
          <w:p>
            <w:pPr>
              <w:jc w:val="both"/>
              <w:pStyle w:val="CellColumn"/>
            </w:pPr>
            <w:r>
              <w:rPr>
                <w:rFonts w:hAnsi="Times New Roman" w:cs="Times New Roman"/>
              </w:rPr>
              <w:t xml:space="preserve">8.895.150</w:t>
            </w:r>
          </w:p>
        </w:tc>
        <w:tc>
          <w:tcPr>
            <w:tcW w:w="1632.96" w:type="dxa"/>
            <w:vAlign w:val="center"/>
          </w:tcPr>
          <w:p>
            <w:pPr>
              <w:jc w:val="both"/>
              <w:pStyle w:val="CellColumn"/>
            </w:pPr>
            <w:r>
              <w:rPr>
                <w:rFonts w:hAnsi="Times New Roman" w:cs="Times New Roman"/>
              </w:rPr>
              <w:t xml:space="preserve">11.806.950</w:t>
            </w:r>
          </w:p>
        </w:tc>
        <w:tc>
          <w:tcPr>
            <w:tcW w:w="1632.96" w:type="dxa"/>
            <w:vAlign w:val="center"/>
          </w:tcPr>
          <w:p>
            <w:pPr>
              <w:jc w:val="both"/>
              <w:pStyle w:val="CellColumn"/>
            </w:pPr>
            <w:r>
              <w:rPr>
                <w:rFonts w:hAnsi="Times New Roman" w:cs="Times New Roman"/>
              </w:rPr>
              <w:t xml:space="preserve">16.087.950</w:t>
            </w:r>
          </w:p>
        </w:tc>
        <w:tc>
          <w:tcPr>
            <w:tcW w:w="510.3" w:type="dxa"/>
            <w:vAlign w:val="center"/>
          </w:tcPr>
          <w:p>
            <w:pPr>
              <w:jc w:val="both"/>
              <w:pStyle w:val="CellColumn"/>
            </w:pPr>
            <w:r>
              <w:rPr>
                <w:rFonts w:hAnsi="Times New Roman" w:cs="Times New Roman"/>
              </w:rPr>
              <w:t xml:space="preserve">150,5</w:t>
            </w:r>
          </w:p>
        </w:tc>
      </w:tr>
    </w:tbl>
    <w:p>
      <w:pPr>
        <w:jc w:val="left"/>
      </w:pPr>
      <w:r>
        <w:rPr>
          <w:rFonts w:hAnsi="Times New Roman" w:cs="Times New Roman"/>
        </w:rPr>
        <w:t xml:space="preserve"/>
      </w:r>
    </w:p>
    <w:p>
      <w:pPr>
        <w:jc w:val="left"/>
        <w:pStyle w:val="Heading7"/>
      </w:pPr>
      <w:r>
        <w:rPr>
          <w:rFonts w:hAnsi="Times New Roman" w:cs="Times New Roman"/>
        </w:rPr>
        <w:t xml:space="preserve">Cilj 1. Razvijen sustav unutarnje plovidbe</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Povećana količina prekrcajnog tereta u lukama unutarnjih voda</w:t>
            </w:r>
          </w:p>
        </w:tc>
        <w:tc>
          <w:tcPr>
            <w:tcW w:w="2245.32" w:type="dxa"/>
            <w:vAlign w:val="center"/>
          </w:tcPr>
          <w:p>
            <w:pPr>
              <w:jc w:val="both"/>
              <w:pStyle w:val="CellColumn"/>
            </w:pPr>
            <w:r>
              <w:rPr>
                <w:rFonts w:hAnsi="Times New Roman" w:cs="Times New Roman"/>
              </w:rPr>
              <w:t xml:space="preserve">Ukupna količina prekrcajnog tereta u lukama unutarnjih voda</w:t>
            </w:r>
          </w:p>
        </w:tc>
        <w:tc>
          <w:tcPr>
            <w:tcW w:w="918.54" w:type="dxa"/>
            <w:vAlign w:val="center"/>
          </w:tcPr>
          <w:p>
            <w:pPr>
              <w:jc w:val="both"/>
              <w:pStyle w:val="CellColumn"/>
            </w:pPr>
            <w:r>
              <w:rPr>
                <w:rFonts w:hAnsi="Times New Roman" w:cs="Times New Roman"/>
              </w:rPr>
              <w:t xml:space="preserve">tona</w:t>
            </w:r>
          </w:p>
        </w:tc>
        <w:tc>
          <w:tcPr>
            <w:tcW w:w="918.54" w:type="dxa"/>
            <w:vAlign w:val="center"/>
          </w:tcPr>
          <w:p>
            <w:pPr>
              <w:jc w:val="both"/>
              <w:pStyle w:val="CellColumn"/>
            </w:pPr>
            <w:r>
              <w:rPr>
                <w:rFonts w:hAnsi="Times New Roman" w:cs="Times New Roman"/>
              </w:rPr>
              <w:t xml:space="preserve">504.614</w:t>
            </w:r>
          </w:p>
        </w:tc>
        <w:tc>
          <w:tcPr>
            <w:tcW w:w="918.54" w:type="dxa"/>
            <w:vAlign w:val="center"/>
          </w:tcPr>
          <w:p>
            <w:pPr>
              <w:jc w:val="both"/>
              <w:pStyle w:val="CellColumn"/>
            </w:pPr>
            <w:r>
              <w:rPr>
                <w:rFonts w:hAnsi="Times New Roman" w:cs="Times New Roman"/>
              </w:rPr>
              <w:t xml:space="preserve">Lučke uprave
</w:t>
            </w:r>
          </w:p>
          <w:p>
            <w:pPr>
              <w:jc w:val="both"/>
              <w:pStyle w:val="CellColumn"/>
            </w:pPr>
            <w:r>
              <w:rPr>
                <w:rFonts w:hAnsi="Times New Roman" w:cs="Times New Roman"/>
              </w:rPr>
              <w:t xml:space="preserve">unutarnjih voda
</w:t>
            </w:r>
          </w:p>
          <w:p>
            <w:pPr>
              <w:jc w:val="both"/>
              <w:pStyle w:val="CellColumn"/>
            </w:pPr>
            <w:r>
              <w:rPr>
                <w:rFonts w:hAnsi="Times New Roman" w:cs="Times New Roman"/>
              </w:rPr>
              <w:t xml:space="preserve">(Vukovar,
</w:t>
            </w:r>
          </w:p>
          <w:p>
            <w:pPr>
              <w:jc w:val="both"/>
              <w:pStyle w:val="CellColumn"/>
            </w:pPr>
            <w:r>
              <w:rPr>
                <w:rFonts w:hAnsi="Times New Roman" w:cs="Times New Roman"/>
              </w:rPr>
              <w:t xml:space="preserve">Osijek,
</w:t>
            </w:r>
          </w:p>
          <w:p>
            <w:pPr>
              <w:jc w:val="both"/>
              <w:pStyle w:val="CellColumn"/>
            </w:pPr>
            <w:r>
              <w:rPr>
                <w:rFonts w:hAnsi="Times New Roman" w:cs="Times New Roman"/>
              </w:rPr>
              <w:t xml:space="preserve">Slavonski
</w:t>
            </w:r>
          </w:p>
          <w:p>
            <w:pPr>
              <w:jc w:val="both"/>
              <w:pStyle w:val="CellColumn"/>
            </w:pPr>
            <w:r>
              <w:rPr>
                <w:rFonts w:hAnsi="Times New Roman" w:cs="Times New Roman"/>
              </w:rPr>
              <w:t xml:space="preserve">Brod,
</w:t>
            </w:r>
          </w:p>
          <w:p>
            <w:pPr>
              <w:jc w:val="both"/>
              <w:pStyle w:val="CellColumn"/>
            </w:pPr>
            <w:r>
              <w:rPr>
                <w:rFonts w:hAnsi="Times New Roman" w:cs="Times New Roman"/>
              </w:rPr>
              <w:t xml:space="preserve">Sisak)</w:t>
            </w:r>
          </w:p>
        </w:tc>
        <w:tc>
          <w:tcPr>
            <w:tcW w:w="918.54" w:type="dxa"/>
            <w:vAlign w:val="center"/>
          </w:tcPr>
          <w:p>
            <w:pPr>
              <w:jc w:val="both"/>
              <w:pStyle w:val="CellColumn"/>
            </w:pPr>
            <w:r>
              <w:rPr>
                <w:rFonts w:hAnsi="Times New Roman" w:cs="Times New Roman"/>
              </w:rPr>
              <w:t xml:space="preserve">1.300.000</w:t>
            </w:r>
          </w:p>
        </w:tc>
        <w:tc>
          <w:tcPr>
            <w:tcW w:w="918.54" w:type="dxa"/>
            <w:vAlign w:val="center"/>
          </w:tcPr>
          <w:p>
            <w:pPr>
              <w:jc w:val="both"/>
              <w:pStyle w:val="CellColumn"/>
            </w:pPr>
            <w:r>
              <w:rPr>
                <w:rFonts w:hAnsi="Times New Roman" w:cs="Times New Roman"/>
              </w:rPr>
              <w:t xml:space="preserve">1.500.000</w:t>
            </w:r>
          </w:p>
        </w:tc>
        <w:tc>
          <w:tcPr>
            <w:tcW w:w="918.54" w:type="dxa"/>
            <w:vAlign w:val="center"/>
          </w:tcPr>
          <w:p>
            <w:pPr>
              <w:jc w:val="both"/>
              <w:pStyle w:val="CellColumn"/>
            </w:pPr>
            <w:r>
              <w:rPr>
                <w:rFonts w:hAnsi="Times New Roman" w:cs="Times New Roman"/>
              </w:rPr>
              <w:t xml:space="preserve">1.700.000</w:t>
            </w:r>
          </w:p>
        </w:tc>
      </w:tr>
      <w:tr>
        <w:trPr>
          <w:cantSplit/>
        </w:trPr>
        <w:tc>
          <w:tcPr>
            <w:tcW w:w="2245.32" w:type="dxa"/>
            <w:vAlign w:val="center"/>
          </w:tcPr>
          <w:p>
            <w:pPr>
              <w:jc w:val="both"/>
              <w:pStyle w:val="CellColumn"/>
            </w:pPr>
            <w:r>
              <w:rPr>
                <w:rFonts w:hAnsi="Times New Roman" w:cs="Times New Roman"/>
              </w:rPr>
              <w:t xml:space="preserve">Povećan broj putnika u
</w:t>
            </w:r>
          </w:p>
          <w:p>
            <w:pPr>
              <w:jc w:val="both"/>
              <w:pStyle w:val="CellColumn"/>
            </w:pPr>
            <w:r>
              <w:rPr>
                <w:rFonts w:hAnsi="Times New Roman" w:cs="Times New Roman"/>
              </w:rPr>
              <w:t xml:space="preserve">pristaništima unutarnjih
</w:t>
            </w:r>
          </w:p>
          <w:p>
            <w:pPr>
              <w:jc w:val="both"/>
              <w:pStyle w:val="CellColumn"/>
            </w:pPr>
            <w:r>
              <w:rPr>
                <w:rFonts w:hAnsi="Times New Roman" w:cs="Times New Roman"/>
              </w:rPr>
              <w:t xml:space="preserve">voda</w:t>
            </w:r>
          </w:p>
        </w:tc>
        <w:tc>
          <w:tcPr>
            <w:tcW w:w="2245.32" w:type="dxa"/>
            <w:vAlign w:val="center"/>
          </w:tcPr>
          <w:p>
            <w:pPr>
              <w:jc w:val="both"/>
              <w:pStyle w:val="CellColumn"/>
            </w:pPr>
            <w:r>
              <w:rPr>
                <w:rFonts w:hAnsi="Times New Roman" w:cs="Times New Roman"/>
              </w:rPr>
              <w:t xml:space="preserve">Ukupna količina
</w:t>
            </w:r>
          </w:p>
          <w:p>
            <w:pPr>
              <w:jc w:val="both"/>
              <w:pStyle w:val="CellColumn"/>
            </w:pPr>
            <w:r>
              <w:rPr>
                <w:rFonts w:hAnsi="Times New Roman" w:cs="Times New Roman"/>
              </w:rPr>
              <w:t xml:space="preserve">prevezenih putnika u
</w:t>
            </w:r>
          </w:p>
          <w:p>
            <w:pPr>
              <w:jc w:val="both"/>
              <w:pStyle w:val="CellColumn"/>
            </w:pPr>
            <w:r>
              <w:rPr>
                <w:rFonts w:hAnsi="Times New Roman" w:cs="Times New Roman"/>
              </w:rPr>
              <w:t xml:space="preserve">domaćem i međunarodnom prometu u pristaništima unutarnjih
</w:t>
            </w:r>
          </w:p>
          <w:p>
            <w:pPr>
              <w:jc w:val="both"/>
              <w:pStyle w:val="CellColumn"/>
            </w:pPr>
            <w:r>
              <w:rPr>
                <w:rFonts w:hAnsi="Times New Roman" w:cs="Times New Roman"/>
              </w:rPr>
              <w:t xml:space="preserve">voda</w:t>
            </w:r>
          </w:p>
        </w:tc>
        <w:tc>
          <w:tcPr>
            <w:tcW w:w="918.54" w:type="dxa"/>
            <w:vAlign w:val="center"/>
          </w:tcPr>
          <w:p>
            <w:pPr>
              <w:jc w:val="both"/>
              <w:pStyle w:val="CellColumn"/>
            </w:pPr>
            <w:r>
              <w:rPr>
                <w:rFonts w:hAnsi="Times New Roman" w:cs="Times New Roman"/>
              </w:rPr>
              <w:t xml:space="preserve">broj putnika</w:t>
            </w:r>
          </w:p>
        </w:tc>
        <w:tc>
          <w:tcPr>
            <w:tcW w:w="918.54" w:type="dxa"/>
            <w:vAlign w:val="center"/>
          </w:tcPr>
          <w:p>
            <w:pPr>
              <w:jc w:val="both"/>
              <w:pStyle w:val="CellColumn"/>
            </w:pPr>
            <w:r>
              <w:rPr>
                <w:rFonts w:hAnsi="Times New Roman" w:cs="Times New Roman"/>
              </w:rPr>
              <w:t xml:space="preserve">1.150.612</w:t>
            </w:r>
          </w:p>
        </w:tc>
        <w:tc>
          <w:tcPr>
            <w:tcW w:w="918.54" w:type="dxa"/>
            <w:vAlign w:val="center"/>
          </w:tcPr>
          <w:p>
            <w:pPr>
              <w:jc w:val="both"/>
              <w:pStyle w:val="CellColumn"/>
            </w:pPr>
            <w:r>
              <w:rPr>
                <w:rFonts w:hAnsi="Times New Roman" w:cs="Times New Roman"/>
              </w:rPr>
              <w:t xml:space="preserve">Lučke uprave
</w:t>
            </w:r>
          </w:p>
          <w:p>
            <w:pPr>
              <w:jc w:val="both"/>
              <w:pStyle w:val="CellColumn"/>
            </w:pPr>
            <w:r>
              <w:rPr>
                <w:rFonts w:hAnsi="Times New Roman" w:cs="Times New Roman"/>
              </w:rPr>
              <w:t xml:space="preserve">unutarnjih voda
</w:t>
            </w:r>
          </w:p>
          <w:p>
            <w:pPr>
              <w:jc w:val="both"/>
              <w:pStyle w:val="CellColumn"/>
            </w:pPr>
            <w:r>
              <w:rPr>
                <w:rFonts w:hAnsi="Times New Roman" w:cs="Times New Roman"/>
              </w:rPr>
              <w:t xml:space="preserve">(Vukovar,
</w:t>
            </w:r>
          </w:p>
          <w:p>
            <w:pPr>
              <w:jc w:val="both"/>
              <w:pStyle w:val="CellColumn"/>
            </w:pPr>
            <w:r>
              <w:rPr>
                <w:rFonts w:hAnsi="Times New Roman" w:cs="Times New Roman"/>
              </w:rPr>
              <w:t xml:space="preserve">Osijek,
</w:t>
            </w:r>
          </w:p>
          <w:p>
            <w:pPr>
              <w:jc w:val="both"/>
              <w:pStyle w:val="CellColumn"/>
            </w:pPr>
            <w:r>
              <w:rPr>
                <w:rFonts w:hAnsi="Times New Roman" w:cs="Times New Roman"/>
              </w:rPr>
              <w:t xml:space="preserve">Slavonski
</w:t>
            </w:r>
          </w:p>
          <w:p>
            <w:pPr>
              <w:jc w:val="both"/>
              <w:pStyle w:val="CellColumn"/>
            </w:pPr>
            <w:r>
              <w:rPr>
                <w:rFonts w:hAnsi="Times New Roman" w:cs="Times New Roman"/>
              </w:rPr>
              <w:t xml:space="preserve">Brod,
</w:t>
            </w:r>
          </w:p>
          <w:p>
            <w:pPr>
              <w:jc w:val="both"/>
              <w:pStyle w:val="CellColumn"/>
            </w:pPr>
            <w:r>
              <w:rPr>
                <w:rFonts w:hAnsi="Times New Roman" w:cs="Times New Roman"/>
              </w:rPr>
              <w:t xml:space="preserve">Sisak)</w:t>
            </w:r>
          </w:p>
        </w:tc>
        <w:tc>
          <w:tcPr>
            <w:tcW w:w="918.54" w:type="dxa"/>
            <w:vAlign w:val="center"/>
          </w:tcPr>
          <w:p>
            <w:pPr>
              <w:jc w:val="both"/>
              <w:pStyle w:val="CellColumn"/>
            </w:pPr>
            <w:r>
              <w:rPr>
                <w:rFonts w:hAnsi="Times New Roman" w:cs="Times New Roman"/>
              </w:rPr>
              <w:t xml:space="preserve">1.500.000</w:t>
            </w:r>
          </w:p>
        </w:tc>
        <w:tc>
          <w:tcPr>
            <w:tcW w:w="918.54" w:type="dxa"/>
            <w:vAlign w:val="center"/>
          </w:tcPr>
          <w:p>
            <w:pPr>
              <w:jc w:val="both"/>
              <w:pStyle w:val="CellColumn"/>
            </w:pPr>
            <w:r>
              <w:rPr>
                <w:rFonts w:hAnsi="Times New Roman" w:cs="Times New Roman"/>
              </w:rPr>
              <w:t xml:space="preserve">1.635.000</w:t>
            </w:r>
          </w:p>
        </w:tc>
        <w:tc>
          <w:tcPr>
            <w:tcW w:w="918.54" w:type="dxa"/>
            <w:vAlign w:val="center"/>
          </w:tcPr>
          <w:p>
            <w:pPr>
              <w:jc w:val="both"/>
              <w:pStyle w:val="CellColumn"/>
            </w:pPr>
            <w:r>
              <w:rPr>
                <w:rFonts w:hAnsi="Times New Roman" w:cs="Times New Roman"/>
              </w:rPr>
              <w:t xml:space="preserve">1.760.000</w:t>
            </w:r>
          </w:p>
        </w:tc>
      </w:tr>
    </w:tbl>
    <w:p>
      <w:pPr>
        <w:jc w:val="left"/>
      </w:pPr>
      <w:r>
        <w:rPr>
          <w:rFonts w:hAnsi="Times New Roman" w:cs="Times New Roman"/>
        </w:rPr>
        <w:t xml:space="preserve"/>
      </w:r>
    </w:p>
    <w:p>
      <w:pPr>
        <w:jc w:val="left"/>
        <w:pStyle w:val="Heading4"/>
      </w:pPr>
      <w:r>
        <w:rPr>
          <w:rFonts w:hAnsi="Times New Roman" w:cs="Times New Roman"/>
        </w:rPr>
        <w:t xml:space="preserve">A570445 POMOĆ JEDINICAMA LOKALNE I REGIONALNE SAMOUPRAVE ZA RAZVOJ RIJEČNOG PROMETA I ŽUPANIJSKIH LUKA I PRISTANIŠTA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članak 2. 
</w:t>
      </w:r>
    </w:p>
    <w:p>
      <w:pPr>
        <w:jc w:val="both"/>
        <w:pStyle w:val="Normal5"/>
      </w:pPr>
      <w:r>
        <w:rPr>
          <w:rFonts w:hAnsi="Times New Roman" w:cs="Times New Roman"/>
        </w:rPr>
        <w:t xml:space="preserve">- Pravilnik o plovidbi na unutarnjim vodama; članak 11.11, stavak 15. 
</w:t>
      </w:r>
    </w:p>
    <w:p>
      <w:pPr>
        <w:jc w:val="both"/>
        <w:pStyle w:val="Normal5"/>
      </w:pPr>
      <w:r>
        <w:rPr>
          <w:rFonts w:hAnsi="Times New Roman" w:cs="Times New Roman"/>
        </w:rPr>
        <w:t xml:space="preserve">- Odluka o sufinanciranju troškova vezanih uz plovila za prijevoz putnika i roba na unutarnjim vodama  
</w:t>
      </w:r>
    </w:p>
    <w:p>
      <w:pPr>
        <w:jc w:val="both"/>
        <w:pStyle w:val="Normal5"/>
      </w:pPr>
      <w:r>
        <w:rPr>
          <w:rFonts w:hAnsi="Times New Roman" w:cs="Times New Roman"/>
        </w:rPr>
        <w:t xml:space="preserve">- Ugovor o sufinanciranju troškova vezanih uz plovila za prijevoz putnika i roba na unutarnjim vodama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A570445-POMOĆ JEDINICAMA LOKALNE I REGIONALNE SAMOUPRAVE ZA RAZVOJ RIJEČNOG PROMETA I ŽUPANIJSKIH LUKA I PRISTANIŠTA</w:t>
            </w:r>
          </w:p>
        </w:tc>
        <w:tc>
          <w:tcPr>
            <w:tcW w:w="1632.96" w:type="dxa"/>
            <w:vAlign w:val="center"/>
          </w:tcPr>
          <w:p>
            <w:pPr>
              <w:jc w:val="both"/>
              <w:pStyle w:val="CellColumn"/>
            </w:pPr>
            <w:r>
              <w:rPr>
                <w:rFonts w:hAnsi="Times New Roman" w:cs="Times New Roman"/>
              </w:rPr>
              <w:t xml:space="preserve">445.400</w:t>
            </w:r>
          </w:p>
        </w:tc>
        <w:tc>
          <w:tcPr>
            <w:tcW w:w="1632.96" w:type="dxa"/>
            <w:vAlign w:val="center"/>
          </w:tcPr>
          <w:p>
            <w:pPr>
              <w:jc w:val="both"/>
              <w:pStyle w:val="CellColumn"/>
            </w:pPr>
            <w:r>
              <w:rPr>
                <w:rFonts w:hAnsi="Times New Roman" w:cs="Times New Roman"/>
              </w:rPr>
              <w:t xml:space="preserve">248.690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350.000</w:t>
            </w:r>
          </w:p>
        </w:tc>
        <w:tc>
          <w:tcPr>
            <w:tcW w:w="1632.96" w:type="dxa"/>
            <w:vAlign w:val="center"/>
          </w:tcPr>
          <w:p>
            <w:pPr>
              <w:jc w:val="both"/>
              <w:pStyle w:val="CellColumn"/>
            </w:pPr>
            <w:r>
              <w:rPr>
                <w:rFonts w:hAnsi="Times New Roman" w:cs="Times New Roman"/>
              </w:rPr>
              <w:t xml:space="preserve">350.000</w:t>
            </w:r>
          </w:p>
        </w:tc>
        <w:tc>
          <w:tcPr>
            <w:tcW w:w="510.3" w:type="dxa"/>
            <w:vAlign w:val="center"/>
          </w:tcPr>
          <w:p>
            <w:pPr>
              <w:jc w:val="both"/>
              <w:pStyle w:val="CellColumn"/>
            </w:pPr>
            <w:r>
              <w:rPr>
                <w:rFonts w:hAnsi="Times New Roman" w:cs="Times New Roman"/>
              </w:rPr>
              <w:t xml:space="preserve">40,2</w:t>
            </w:r>
          </w:p>
        </w:tc>
      </w:tr>
    </w:tbl>
    <w:p>
      <w:pPr>
        <w:jc w:val="left"/>
      </w:pPr>
      <w:r>
        <w:rPr>
          <w:rFonts w:hAnsi="Times New Roman" w:cs="Times New Roman"/>
        </w:rPr>
        <w:t xml:space="preserve"/>
      </w:r>
    </w:p>
    <w:p>
      <w:pPr>
        <w:jc w:val="both"/>
        <w:pStyle w:val="Normal"/>
      </w:pPr>
      <w:r>
        <w:rPr>
          <w:rFonts w:hAnsi="Times New Roman" w:cs="Times New Roman"/>
        </w:rPr>
        <w:t xml:space="preserve">U proračunskom razdoblju 2026. - 2028. planirana su sredstva za pomoć u sufinanciranju kapitalnih troškova obnove i troškova tekućih ulaganja u plovila i održivost prijevoza putnika i stvari u vlasništvu jedinica lokalne i regionalne samouprave, a u svrhu sigurne i nesmetane plovidbe na međunarodnim, međudržavnim i državnim vodnim putovima. Cilj i svrha ove aktivnosti je osiguravanje prometne povezanosti i razvoj prometne usluge ovog vida prometa uz poticaj razvoja prometno slabije razvijenih regija, što se ostvaruje kroz financijsku pomoć jedinicama lokalne i područne (regionalne) samouprave i kroz sufinanciranje troškova održavanja flote za prijevoz putnika i roba u njihovom vlasništvu.   
</w:t>
      </w:r>
    </w:p>
    <w:p>
      <w:pPr>
        <w:jc w:val="both"/>
        <w:pStyle w:val="Normal"/>
      </w:pPr>
      <w:r>
        <w:rPr>
          <w:rFonts w:hAnsi="Times New Roman" w:cs="Times New Roman"/>
        </w:rPr>
        <w:t xml:space="preserve">Navedena aktivnost je od velikog značaja za daljnji razvoj i povezivanje slabije razvijenih regija i ulaganja u održivu budućnost. U narednom periodu se planiraju povećati ulaganja, kao rezultat praćenja prethodnih godina, gdje je uočena intencija rasta broja zahtjeva za dodjelu pomoći i povećanja potreba za ulaganjima u plovila (skele) i skelske prijelaze.  
</w:t>
      </w:r>
    </w:p>
    <w:p>
      <w:pPr>
        <w:jc w:val="both"/>
        <w:pStyle w:val="Normal"/>
      </w:pPr>
      <w:r>
        <w:rPr>
          <w:rFonts w:hAnsi="Times New Roman" w:cs="Times New Roman"/>
        </w:rPr>
        <w:t xml:space="preserve">Planirana sredstava  u 2026., 2027. i 2028. godini odnose se na dodatna tekuća i kapitalna ulaganja za obnovu skela zbog lošeg tehničkog stanja istih, a u svrhu ispunjavanja tehničkih zahtjeva te sigurnosti plovidbe u smislu zaštite putnika, tereta i okoliša. Provedbom ove aktivnosti osigurat će se stanovnicima i posjetiteljima nedovoljno prometno razvijenih područja mogućnost sigurnog prijelaza preko rijeke i na taj način nesmetano kretanje ljudi i dobara.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plovila u vlasništvu jedinica lokalne i regionalne samouprave kojima se dodjeljuje pomoć</w:t>
            </w:r>
          </w:p>
        </w:tc>
        <w:tc>
          <w:tcPr>
            <w:tcW w:w="2245.32" w:type="dxa"/>
            <w:vAlign w:val="center"/>
          </w:tcPr>
          <w:p>
            <w:pPr>
              <w:jc w:val="both"/>
              <w:pStyle w:val="CellColumn"/>
            </w:pPr>
            <w:r>
              <w:rPr>
                <w:rFonts w:hAnsi="Times New Roman" w:cs="Times New Roman"/>
              </w:rPr>
              <w:t xml:space="preserve">Ulaganjem u plovila za prijevoz putnika i roba u vlasništvu jedinica lokalne i regionalne samouprave osigurava se optimalna razina kvalitete povezanosti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7</w:t>
            </w:r>
          </w:p>
        </w:tc>
      </w:tr>
    </w:tbl>
    <w:p>
      <w:pPr>
        <w:jc w:val="left"/>
      </w:pPr>
      <w:r>
        <w:rPr>
          <w:rFonts w:hAnsi="Times New Roman" w:cs="Times New Roman"/>
        </w:rPr>
        <w:t xml:space="preserve"/>
      </w:r>
    </w:p>
    <w:p>
      <w:pPr>
        <w:jc w:val="left"/>
        <w:pStyle w:val="Heading4"/>
      </w:pPr>
      <w:r>
        <w:rPr>
          <w:rFonts w:hAnsi="Times New Roman" w:cs="Times New Roman"/>
        </w:rPr>
        <w:t xml:space="preserve">A754036 PRIPREMA PROJEKATA I PLANSKIH DOKUMENATA U UNUTARNJOJ PLOVIDBI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w:t>
      </w:r>
    </w:p>
    <w:p>
      <w:pPr>
        <w:jc w:val="both"/>
        <w:pStyle w:val="Normal5"/>
      </w:pPr>
      <w:r>
        <w:rPr>
          <w:rFonts w:hAnsi="Times New Roman" w:cs="Times New Roman"/>
        </w:rPr>
        <w:t xml:space="preserve">- Strategija prometnog razvoja Republike Hrvatske za razdoblje od 2014. do 2030. godine
</w:t>
      </w:r>
    </w:p>
    <w:p>
      <w:pPr>
        <w:jc w:val="both"/>
        <w:pStyle w:val="Normal5"/>
      </w:pPr>
      <w:r>
        <w:rPr>
          <w:rFonts w:hAnsi="Times New Roman" w:cs="Times New Roman"/>
        </w:rPr>
        <w:t xml:space="preserve">- Strategija razvitka riječnog prometa u Republici Hrvatskoj za razdoblje od 2022. do 2032.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A754036-PRIPREMA PROJEKATA I PLANSKIH DOKUMENATA U UNUTARNJOJ PLOVIDBI</w:t>
            </w:r>
          </w:p>
        </w:tc>
        <w:tc>
          <w:tcPr>
            <w:tcW w:w="1632.96" w:type="dxa"/>
            <w:vAlign w:val="center"/>
          </w:tcPr>
          <w:p>
            <w:pPr>
              <w:jc w:val="both"/>
              <w:pStyle w:val="CellColumn"/>
            </w:pPr>
            <w:r>
              <w:rPr>
                <w:rFonts w:hAnsi="Times New Roman" w:cs="Times New Roman"/>
              </w:rPr>
              <w:t xml:space="preserve">41.125</w:t>
            </w:r>
          </w:p>
        </w:tc>
        <w:tc>
          <w:tcPr>
            <w:tcW w:w="1632.96" w:type="dxa"/>
            <w:vAlign w:val="center"/>
          </w:tcPr>
          <w:p>
            <w:pPr>
              <w:jc w:val="both"/>
              <w:pStyle w:val="CellColumn"/>
            </w:pPr>
            <w:r>
              <w:rPr>
                <w:rFonts w:hAnsi="Times New Roman" w:cs="Times New Roman"/>
              </w:rPr>
              <w:t xml:space="preserve">530.500</w:t>
            </w:r>
          </w:p>
        </w:tc>
        <w:tc>
          <w:tcPr>
            <w:tcW w:w="1632.96" w:type="dxa"/>
            <w:vAlign w:val="center"/>
          </w:tcPr>
          <w:p>
            <w:pPr>
              <w:jc w:val="both"/>
              <w:pStyle w:val="CellColumn"/>
            </w:pPr>
            <w:r>
              <w:rPr>
                <w:rFonts w:hAnsi="Times New Roman" w:cs="Times New Roman"/>
              </w:rPr>
              <w:t xml:space="preserve">491.000</w:t>
            </w:r>
          </w:p>
        </w:tc>
        <w:tc>
          <w:tcPr>
            <w:tcW w:w="1632.96" w:type="dxa"/>
            <w:vAlign w:val="center"/>
          </w:tcPr>
          <w:p>
            <w:pPr>
              <w:jc w:val="both"/>
              <w:pStyle w:val="CellColumn"/>
            </w:pPr>
            <w:r>
              <w:rPr>
                <w:rFonts w:hAnsi="Times New Roman" w:cs="Times New Roman"/>
              </w:rPr>
              <w:t xml:space="preserve">491.000</w:t>
            </w:r>
          </w:p>
        </w:tc>
        <w:tc>
          <w:tcPr>
            <w:tcW w:w="1632.96" w:type="dxa"/>
            <w:vAlign w:val="center"/>
          </w:tcPr>
          <w:p>
            <w:pPr>
              <w:jc w:val="both"/>
              <w:pStyle w:val="CellColumn"/>
            </w:pPr>
            <w:r>
              <w:rPr>
                <w:rFonts w:hAnsi="Times New Roman" w:cs="Times New Roman"/>
              </w:rPr>
              <w:t xml:space="preserve">491.000</w:t>
            </w:r>
          </w:p>
        </w:tc>
        <w:tc>
          <w:tcPr>
            <w:tcW w:w="510.3" w:type="dxa"/>
            <w:vAlign w:val="center"/>
          </w:tcPr>
          <w:p>
            <w:pPr>
              <w:jc w:val="both"/>
              <w:pStyle w:val="CellColumn"/>
            </w:pPr>
            <w:r>
              <w:rPr>
                <w:rFonts w:hAnsi="Times New Roman" w:cs="Times New Roman"/>
              </w:rPr>
              <w:t xml:space="preserve">92,6</w:t>
            </w:r>
          </w:p>
        </w:tc>
      </w:tr>
    </w:tbl>
    <w:p>
      <w:pPr>
        <w:jc w:val="left"/>
      </w:pPr>
      <w:r>
        <w:rPr>
          <w:rFonts w:hAnsi="Times New Roman" w:cs="Times New Roman"/>
        </w:rPr>
        <w:t xml:space="preserve"/>
      </w:r>
    </w:p>
    <w:p>
      <w:pPr>
        <w:jc w:val="both"/>
        <w:pStyle w:val="Normal"/>
      </w:pPr>
      <w:r>
        <w:rPr>
          <w:rFonts w:hAnsi="Times New Roman" w:cs="Times New Roman"/>
        </w:rPr>
        <w:t xml:space="preserve">Aktivnost se provodi svake godine i obuhvaća tehničku podršku na izradi svih podloga i planskih dokumenata za razvoj riječnog prometa Republike Hrvatske, kako bi se postigla ujednačena razvijenost prometne infrastrukture, kvalitete i sigurnosti prometa na unutarnjim vodama. Putem ove aktivnosti osigurat će se preduvjeti za realizaciju razvojnih projekata u unutarnjoj plovidbi i to kroz: pripremu projektno-tehničke dokumentacije projekata u vidu projektnih zadataka, studija predizvodljivosti, studija izvodljivosti, ekonomskih i financijskih analiza, studija utjecaja na okoliš i ostalih aktivnosti vezanih uz obuhvate zahvata u ekološkoj mreži te ostalih dokumenata vezanih uz razvoj projekata, a sve sa ciljem izrade stručnih podloga za prijavu projekata za financiranje iz EU fondova.   
</w:t>
      </w:r>
    </w:p>
    <w:p>
      <w:pPr>
        <w:jc w:val="both"/>
        <w:pStyle w:val="Normal"/>
      </w:pPr>
      <w:r>
        <w:rPr>
          <w:rFonts w:hAnsi="Times New Roman" w:cs="Times New Roman"/>
        </w:rPr>
        <w:t xml:space="preserve">U okviru ove aktivnosti, za naredno proračunsko razdoblje, planirana su sredstva za pripremu i izradu projektno-tehničke dokumentacije u svrhu realizacije projekata unutarnje plovidbe te pružanje administrativne i tehničke pomoći djelatnicima koji rade na projektu. Planira se nastavak realizacije projekta Usluga izrade projektne dokumentacije infrastrukture za promociju „zelene plovidbe“ na Savi u Zagrebu, nastavak izrade studijsko-projektne dokumentacije za integralno uređenje korita rijeke Drave na dionici od rkm 0 do rkm 12, izrada Studije isplativosti uređenja plovnog puta na rijeci Bosut - ECO BOSUT CONNECT, izrada financijskih modela SGEI potpora u brodarstvu, izrada tehničke dokumentacije poboljšanja plovnosti na ušću rijeke Drave u rijeku Dunav primjenom rješenja temeljenih na prirodi te izrada tehničkih pravila za održavanje plovnih putova.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pripremljenih/izrađenih projekata, planskih/strateških dokumenata</w:t>
            </w:r>
          </w:p>
        </w:tc>
        <w:tc>
          <w:tcPr>
            <w:tcW w:w="2245.32" w:type="dxa"/>
            <w:vAlign w:val="center"/>
          </w:tcPr>
          <w:p>
            <w:pPr>
              <w:jc w:val="both"/>
              <w:pStyle w:val="CellColumn"/>
            </w:pPr>
            <w:r>
              <w:rPr>
                <w:rFonts w:hAnsi="Times New Roman" w:cs="Times New Roman"/>
              </w:rPr>
              <w:t xml:space="preserve">Priprema projekata i planskih dokumenta u svrhu povećanja razvoja prometne infrastrukure i sigurnosti plovidbe na unutarnjim vodama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4</w:t>
            </w:r>
          </w:p>
        </w:tc>
      </w:tr>
    </w:tbl>
    <w:p>
      <w:pPr>
        <w:jc w:val="left"/>
      </w:pPr>
      <w:r>
        <w:rPr>
          <w:rFonts w:hAnsi="Times New Roman" w:cs="Times New Roman"/>
        </w:rPr>
        <w:t xml:space="preserve"/>
      </w:r>
    </w:p>
    <w:p>
      <w:pPr>
        <w:jc w:val="left"/>
        <w:pStyle w:val="Heading4"/>
      </w:pPr>
      <w:r>
        <w:rPr>
          <w:rFonts w:hAnsi="Times New Roman" w:cs="Times New Roman"/>
        </w:rPr>
        <w:t xml:space="preserve">A810015 POTPORA BRODARIMA UNUTARNJE PLOVIDBE U NACIONALNOM PRIJEVOZU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članak 2. 
</w:t>
      </w:r>
    </w:p>
    <w:p>
      <w:pPr>
        <w:jc w:val="both"/>
        <w:pStyle w:val="Normal5"/>
      </w:pPr>
      <w:r>
        <w:rPr>
          <w:rFonts w:hAnsi="Times New Roman" w:cs="Times New Roman"/>
        </w:rPr>
        <w:t xml:space="preserve">- Zakon o državnim potporama; članak 10. 
</w:t>
      </w:r>
    </w:p>
    <w:p>
      <w:pPr>
        <w:jc w:val="both"/>
        <w:pStyle w:val="Normal5"/>
      </w:pPr>
      <w:r>
        <w:rPr>
          <w:rFonts w:hAnsi="Times New Roman" w:cs="Times New Roman"/>
        </w:rPr>
        <w:t xml:space="preserve">- Uredba Komisije (EU) br.: 1407/2013 оd 18. prosinca 2013. o primjeni članaka 107. i 108. Ugovora o funkcioniranju Europske unije na de minimis potpore 
</w:t>
      </w:r>
    </w:p>
    <w:p>
      <w:pPr>
        <w:jc w:val="both"/>
        <w:pStyle w:val="Normal5"/>
      </w:pPr>
      <w:r>
        <w:rPr>
          <w:rFonts w:hAnsi="Times New Roman" w:cs="Times New Roman"/>
        </w:rPr>
        <w:t xml:space="preserve">- Uredba Komisije (EU) br.: 2020/972 оd 2. srpnja 2020. o izmjeni Uredbe (EU) br. 1407/2013 u pogledu njezina produljenja i o izmjeni Uredbe (EU) br. 651/2014 u pogledu njezina produljenja i odgovarajućih prilagodbi 
</w:t>
      </w:r>
    </w:p>
    <w:p>
      <w:pPr>
        <w:jc w:val="both"/>
        <w:pStyle w:val="Normal5"/>
      </w:pPr>
      <w:r>
        <w:rPr>
          <w:rFonts w:hAnsi="Times New Roman" w:cs="Times New Roman"/>
        </w:rPr>
        <w:t xml:space="preserve">- Uredba Komisije (EU) 2023/2831 od 13. prosinca 2023. o primjeni članaka 107. i 108. Ugovora o funkcioniranju Europske unije na de minimis potpore 
</w:t>
      </w:r>
    </w:p>
    <w:p>
      <w:pPr>
        <w:jc w:val="both"/>
        <w:pStyle w:val="Normal5"/>
      </w:pPr>
      <w:r>
        <w:rPr>
          <w:rFonts w:hAnsi="Times New Roman" w:cs="Times New Roman"/>
        </w:rPr>
        <w:t xml:space="preserve">- Strategija razvitka riječnog prometa u Republici Hrvatskoj za razdoblje od 2022. do 2032. godine 
</w:t>
      </w:r>
    </w:p>
    <w:p>
      <w:pPr>
        <w:jc w:val="both"/>
        <w:pStyle w:val="Normal5"/>
      </w:pPr>
      <w:r>
        <w:rPr>
          <w:rFonts w:hAnsi="Times New Roman" w:cs="Times New Roman"/>
        </w:rPr>
        <w:t xml:space="preserve">- Srednjoročni plan razvitka vodnih putova, luka i pristaništa Republike Hrvatske za razdoblje od 2022. do 2031.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A810015-POTPORA BRODARIMA UNUTARNJE PLOVIDBE U NACIONALNOM PRIJEVOZU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800.000</w:t>
            </w:r>
          </w:p>
        </w:tc>
        <w:tc>
          <w:tcPr>
            <w:tcW w:w="1632.96" w:type="dxa"/>
            <w:vAlign w:val="center"/>
          </w:tcPr>
          <w:p>
            <w:pPr>
              <w:jc w:val="both"/>
              <w:pStyle w:val="CellColumn"/>
            </w:pPr>
            <w:r>
              <w:rPr>
                <w:rFonts w:hAnsi="Times New Roman" w:cs="Times New Roman"/>
              </w:rPr>
              <w:t xml:space="preserve">1.000.000</w:t>
            </w:r>
          </w:p>
        </w:tc>
        <w:tc>
          <w:tcPr>
            <w:tcW w:w="1632.96" w:type="dxa"/>
            <w:vAlign w:val="center"/>
          </w:tcPr>
          <w:p>
            <w:pPr>
              <w:jc w:val="both"/>
              <w:pStyle w:val="CellColumn"/>
            </w:pPr>
            <w:r>
              <w:rPr>
                <w:rFonts w:hAnsi="Times New Roman" w:cs="Times New Roman"/>
              </w:rPr>
              <w:t xml:space="preserve">1.640.000</w:t>
            </w:r>
          </w:p>
        </w:tc>
        <w:tc>
          <w:tcPr>
            <w:tcW w:w="1632.96" w:type="dxa"/>
            <w:vAlign w:val="center"/>
          </w:tcPr>
          <w:p>
            <w:pPr>
              <w:jc w:val="both"/>
              <w:pStyle w:val="CellColumn"/>
            </w:pPr>
            <w:r>
              <w:rPr>
                <w:rFonts w:hAnsi="Times New Roman" w:cs="Times New Roman"/>
              </w:rPr>
              <w:t xml:space="preserve">1.500.000</w:t>
            </w:r>
          </w:p>
        </w:tc>
        <w:tc>
          <w:tcPr>
            <w:tcW w:w="510.3" w:type="dxa"/>
            <w:vAlign w:val="center"/>
          </w:tcPr>
          <w:p>
            <w:pPr>
              <w:jc w:val="both"/>
              <w:pStyle w:val="CellColumn"/>
            </w:pPr>
            <w:r>
              <w:rPr>
                <w:rFonts w:hAnsi="Times New Roman" w:cs="Times New Roman"/>
              </w:rPr>
              <w:t xml:space="preserve">125,0</w:t>
            </w:r>
          </w:p>
        </w:tc>
      </w:tr>
    </w:tbl>
    <w:p>
      <w:pPr>
        <w:jc w:val="left"/>
      </w:pPr>
      <w:r>
        <w:rPr>
          <w:rFonts w:hAnsi="Times New Roman" w:cs="Times New Roman"/>
        </w:rPr>
        <w:t xml:space="preserve"/>
      </w:r>
    </w:p>
    <w:p>
      <w:pPr>
        <w:jc w:val="both"/>
        <w:pStyle w:val="Normal"/>
      </w:pPr>
      <w:r>
        <w:rPr>
          <w:rFonts w:hAnsi="Times New Roman" w:cs="Times New Roman"/>
        </w:rPr>
        <w:t xml:space="preserve">Aktivnost je usmjerena na poticanje brodara u nacionalnoj plovidbi u svrhu modernizacije plovila. Provođenje aktivnosti olakšava  prilagodbu brodara odredbama Tehničkih pravila za statutarnu certifikaciju plovila unutarnje plovidbe i ES-TRIN-a. Modernizacija plovila usmjerena je prema povećanju energetske učinkovitosti plovila, poštujući odredbe zaštite okoliša i prirode, obzirom da se svi međunarodni vodni putovi u Republici Hrvatskoj nalaze u ekološkoj mreži.   
</w:t>
      </w:r>
    </w:p>
    <w:p>
      <w:pPr>
        <w:jc w:val="both"/>
        <w:pStyle w:val="Normal"/>
      </w:pPr>
      <w:r>
        <w:rPr>
          <w:rFonts w:hAnsi="Times New Roman" w:cs="Times New Roman"/>
        </w:rPr>
        <w:t xml:space="preserve">U proračunskom razdoblju od 2026. do 2028. godine planira se daljnja provedba potpora brodara kroz postojeći program de minimis, provedba aktivnosti za subvencioniranje nabave tehničke opreme za zaštitu posade i putnika na plovilima te pogonskih, pomoćnih i upravljačkih uređaja plovila s pripadajućom opremom za ispunjavanje odredbi međunarodnih i nacionalnih propisa.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Realizirani zahtjevi za sufinanciranje troškova brodara - godišnje</w:t>
            </w:r>
          </w:p>
        </w:tc>
        <w:tc>
          <w:tcPr>
            <w:tcW w:w="2245.32" w:type="dxa"/>
            <w:vAlign w:val="center"/>
          </w:tcPr>
          <w:p>
            <w:pPr>
              <w:jc w:val="both"/>
              <w:pStyle w:val="CellColumn"/>
            </w:pPr>
            <w:r>
              <w:rPr>
                <w:rFonts w:hAnsi="Times New Roman" w:cs="Times New Roman"/>
              </w:rPr>
              <w:t xml:space="preserve">Ulaganjem u modernizaciju plovila značajno se doprinosi održivoj mobilnosti i zaštiti okoliša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r>
    </w:tbl>
    <w:p>
      <w:pPr>
        <w:jc w:val="left"/>
      </w:pPr>
      <w:r>
        <w:rPr>
          <w:rFonts w:hAnsi="Times New Roman" w:cs="Times New Roman"/>
        </w:rPr>
        <w:t xml:space="preserve"/>
      </w:r>
    </w:p>
    <w:p>
      <w:pPr>
        <w:jc w:val="left"/>
        <w:pStyle w:val="Heading4"/>
      </w:pPr>
      <w:r>
        <w:rPr>
          <w:rFonts w:hAnsi="Times New Roman" w:cs="Times New Roman"/>
        </w:rPr>
        <w:t xml:space="preserve">A821014 STIPENDIRANJE REDOVNIH STUDENATA I UČENIKA OBRAZOVNOG USMJERENJA IZ PODRUČJA UNUTARNJE PLOVIDBE, TE VJEŽBENIČKOG STAŽA BRODARACA UNUTARNJE PLOVIDBE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članak 2.</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A821014-STIPENDIRANJE REDOVNIH STUDENATA I UČENIKA OBRAZOVNOG USMJERENJA IZ PODRUČJA UNUTARNJE PLOVIDBE, TE VJEŽBENIČKOG STAŽA BRODARACA UNUTARNJE PLOVIDBE</w:t>
            </w:r>
          </w:p>
        </w:tc>
        <w:tc>
          <w:tcPr>
            <w:tcW w:w="1632.96" w:type="dxa"/>
            <w:vAlign w:val="center"/>
          </w:tcPr>
          <w:p>
            <w:pPr>
              <w:jc w:val="both"/>
              <w:pStyle w:val="CellColumn"/>
            </w:pPr>
            <w:r>
              <w:rPr>
                <w:rFonts w:hAnsi="Times New Roman" w:cs="Times New Roman"/>
              </w:rPr>
              <w:t xml:space="preserve">2.395</w:t>
            </w:r>
          </w:p>
        </w:tc>
        <w:tc>
          <w:tcPr>
            <w:tcW w:w="1632.96" w:type="dxa"/>
            <w:vAlign w:val="center"/>
          </w:tcPr>
          <w:p>
            <w:pPr>
              <w:jc w:val="both"/>
              <w:pStyle w:val="CellColumn"/>
            </w:pPr>
            <w:r>
              <w:rPr>
                <w:rFonts w:hAnsi="Times New Roman" w:cs="Times New Roman"/>
              </w:rPr>
              <w:t xml:space="preserve">6.600</w:t>
            </w:r>
          </w:p>
        </w:tc>
        <w:tc>
          <w:tcPr>
            <w:tcW w:w="1632.96" w:type="dxa"/>
            <w:vAlign w:val="center"/>
          </w:tcPr>
          <w:p>
            <w:pPr>
              <w:jc w:val="both"/>
              <w:pStyle w:val="CellColumn"/>
            </w:pPr>
            <w:r>
              <w:rPr>
                <w:rFonts w:hAnsi="Times New Roman" w:cs="Times New Roman"/>
              </w:rPr>
              <w:t xml:space="preserve">10.700</w:t>
            </w:r>
          </w:p>
        </w:tc>
        <w:tc>
          <w:tcPr>
            <w:tcW w:w="1632.96" w:type="dxa"/>
            <w:vAlign w:val="center"/>
          </w:tcPr>
          <w:p>
            <w:pPr>
              <w:jc w:val="both"/>
              <w:pStyle w:val="CellColumn"/>
            </w:pPr>
            <w:r>
              <w:rPr>
                <w:rFonts w:hAnsi="Times New Roman" w:cs="Times New Roman"/>
              </w:rPr>
              <w:t xml:space="preserve">10.700</w:t>
            </w:r>
          </w:p>
        </w:tc>
        <w:tc>
          <w:tcPr>
            <w:tcW w:w="1632.96" w:type="dxa"/>
            <w:vAlign w:val="center"/>
          </w:tcPr>
          <w:p>
            <w:pPr>
              <w:jc w:val="both"/>
              <w:pStyle w:val="CellColumn"/>
            </w:pPr>
            <w:r>
              <w:rPr>
                <w:rFonts w:hAnsi="Times New Roman" w:cs="Times New Roman"/>
              </w:rPr>
              <w:t xml:space="preserve">20.700</w:t>
            </w:r>
          </w:p>
        </w:tc>
        <w:tc>
          <w:tcPr>
            <w:tcW w:w="510.3" w:type="dxa"/>
            <w:vAlign w:val="center"/>
          </w:tcPr>
          <w:p>
            <w:pPr>
              <w:jc w:val="both"/>
              <w:pStyle w:val="CellColumn"/>
            </w:pPr>
            <w:r>
              <w:rPr>
                <w:rFonts w:hAnsi="Times New Roman" w:cs="Times New Roman"/>
              </w:rPr>
              <w:t xml:space="preserve">162,1</w:t>
            </w:r>
          </w:p>
        </w:tc>
      </w:tr>
    </w:tbl>
    <w:p>
      <w:pPr>
        <w:jc w:val="left"/>
      </w:pPr>
      <w:r>
        <w:rPr>
          <w:rFonts w:hAnsi="Times New Roman" w:cs="Times New Roman"/>
        </w:rPr>
        <w:t xml:space="preserve"/>
      </w:r>
    </w:p>
    <w:p>
      <w:pPr>
        <w:jc w:val="both"/>
        <w:pStyle w:val="Normal"/>
      </w:pPr>
      <w:r>
        <w:rPr>
          <w:rFonts w:hAnsi="Times New Roman" w:cs="Times New Roman"/>
        </w:rPr>
        <w:t xml:space="preserve">Aktivnost se provodi kontinuirano svake godine sa ciljem osiguravanja stručnog kadra i održavanjem tradicije stručnog osposobljavanja studenata i učenika obrazovnog usmjerenja vezanog uz područje riječnog prometa.    
</w:t>
      </w:r>
    </w:p>
    <w:p>
      <w:pPr>
        <w:jc w:val="both"/>
        <w:pStyle w:val="Normal"/>
      </w:pPr>
      <w:r>
        <w:rPr>
          <w:rFonts w:hAnsi="Times New Roman" w:cs="Times New Roman"/>
        </w:rPr>
        <w:t xml:space="preserve">Za naredno razdoblje planiran je nastavak stipendiranja studenata i učenika obrazovnog usmjerenja iz područja unutarnje plovidbe. Planirana financijska sredstva se temelje na broju stipendija za studente u iznosu raspona od 120 € do 320 € (ovisno o prosječnom uspjehu) i za učenike u iznosu raspona od 120 € do 320 € (ovisno o prosječnom uspjehu), na mjesečnoj bazi (tijekom deset mjeseci). U 2025. godini raspisan je novi Natječaj za dodjelu stipendija studentima koji pohađaju obrazovni program zanimanja iz područja unutarnje plovidbe, čime će se osigurati daljnje poticanje razvoja stručnog kadra u unutarnjoj plovidbi.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ukupno stipendiranih učenika/studenata</w:t>
            </w:r>
          </w:p>
        </w:tc>
        <w:tc>
          <w:tcPr>
            <w:tcW w:w="2245.32" w:type="dxa"/>
            <w:vAlign w:val="center"/>
          </w:tcPr>
          <w:p>
            <w:pPr>
              <w:jc w:val="both"/>
              <w:pStyle w:val="CellColumn"/>
            </w:pPr>
            <w:r>
              <w:rPr>
                <w:rFonts w:hAnsi="Times New Roman" w:cs="Times New Roman"/>
              </w:rPr>
              <w:t xml:space="preserve">Edukacijom učenika/studenatapodručju riječnog prometadoprinosi se kvalitetnijemkadru u unutarnjojplovidbi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11</w:t>
            </w:r>
          </w:p>
        </w:tc>
        <w:tc>
          <w:tcPr>
            <w:tcW w:w="918.54" w:type="dxa"/>
            <w:vAlign w:val="center"/>
          </w:tcPr>
          <w:p>
            <w:pPr>
              <w:jc w:val="both"/>
              <w:pStyle w:val="CellColumn"/>
            </w:pPr>
            <w:r>
              <w:rPr>
                <w:rFonts w:hAnsi="Times New Roman" w:cs="Times New Roman"/>
              </w:rPr>
              <w:t xml:space="preserve">11</w:t>
            </w:r>
          </w:p>
        </w:tc>
        <w:tc>
          <w:tcPr>
            <w:tcW w:w="918.54" w:type="dxa"/>
            <w:vAlign w:val="center"/>
          </w:tcPr>
          <w:p>
            <w:pPr>
              <w:jc w:val="both"/>
              <w:pStyle w:val="CellColumn"/>
            </w:pPr>
            <w:r>
              <w:rPr>
                <w:rFonts w:hAnsi="Times New Roman" w:cs="Times New Roman"/>
              </w:rPr>
              <w:t xml:space="preserve">11</w:t>
            </w:r>
          </w:p>
        </w:tc>
      </w:tr>
    </w:tbl>
    <w:p>
      <w:pPr>
        <w:jc w:val="left"/>
      </w:pPr>
      <w:r>
        <w:rPr>
          <w:rFonts w:hAnsi="Times New Roman" w:cs="Times New Roman"/>
        </w:rPr>
        <w:t xml:space="preserve"/>
      </w:r>
    </w:p>
    <w:p>
      <w:pPr>
        <w:jc w:val="left"/>
        <w:pStyle w:val="Heading4"/>
      </w:pPr>
      <w:r>
        <w:rPr>
          <w:rFonts w:hAnsi="Times New Roman" w:cs="Times New Roman"/>
        </w:rPr>
        <w:t xml:space="preserve">K570297 RAD SAVSKE KOMISIJE TE SUDJELOVANJE U RADU MEĐUNARODNIH INSTITUCIJA S PODRUČJA UNUTARNJE PLOVIDBE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Europski sporazum o međunarodnom prijevozu opasnih tvari unutarnjim plovnim putovima ADN 
</w:t>
      </w:r>
    </w:p>
    <w:p>
      <w:pPr>
        <w:jc w:val="both"/>
        <w:pStyle w:val="Normal5"/>
      </w:pPr>
      <w:r>
        <w:rPr>
          <w:rFonts w:hAnsi="Times New Roman" w:cs="Times New Roman"/>
        </w:rPr>
        <w:t xml:space="preserve">- Konvencija o režimu plovidbe na Dunavu, dopunski protokol od 26.03.1998. 
</w:t>
      </w:r>
    </w:p>
    <w:p>
      <w:pPr>
        <w:jc w:val="both"/>
        <w:pStyle w:val="Normal5"/>
      </w:pPr>
      <w:r>
        <w:rPr>
          <w:rFonts w:hAnsi="Times New Roman" w:cs="Times New Roman"/>
        </w:rPr>
        <w:t xml:space="preserve">- Okvirni sporazum o slivu rijeke Save potpisan 03.12.2002. godine 
</w:t>
      </w:r>
    </w:p>
    <w:p>
      <w:pPr>
        <w:jc w:val="both"/>
        <w:pStyle w:val="Normal5"/>
      </w:pPr>
      <w:r>
        <w:rPr>
          <w:rFonts w:hAnsi="Times New Roman" w:cs="Times New Roman"/>
        </w:rPr>
        <w:t xml:space="preserve">- Europski ugovor o glavnim unutarnjim plovnim putovima od međunarodnog značaja (AGN) 
</w:t>
      </w:r>
    </w:p>
    <w:p>
      <w:pPr>
        <w:jc w:val="both"/>
        <w:pStyle w:val="Normal5"/>
      </w:pPr>
      <w:r>
        <w:rPr>
          <w:rFonts w:hAnsi="Times New Roman" w:cs="Times New Roman"/>
        </w:rPr>
        <w:t xml:space="preserve">- Zakon o plovidbi i lukama unutarnjih voda 
</w:t>
      </w:r>
    </w:p>
    <w:p>
      <w:pPr>
        <w:jc w:val="both"/>
        <w:pStyle w:val="Normal5"/>
      </w:pPr>
      <w:r>
        <w:rPr>
          <w:rFonts w:hAnsi="Times New Roman" w:cs="Times New Roman"/>
        </w:rPr>
        <w:t xml:space="preserve">- Odluka o povećanju kontribucije 18.12.2018. (temeljem Okvirnog sporazuma o slivu rijeke Save, član 16. st.1(c))</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K570297-RAD SAVSKE KOMISIJE TE SUDJELOVANJE U RADU MEĐUNARODNIH INSTITUCIJA S PODRUČJA UNUTARNJE PLOVIDBE</w:t>
            </w:r>
          </w:p>
        </w:tc>
        <w:tc>
          <w:tcPr>
            <w:tcW w:w="1632.96" w:type="dxa"/>
            <w:vAlign w:val="center"/>
          </w:tcPr>
          <w:p>
            <w:pPr>
              <w:jc w:val="both"/>
              <w:pStyle w:val="CellColumn"/>
            </w:pPr>
            <w:r>
              <w:rPr>
                <w:rFonts w:hAnsi="Times New Roman" w:cs="Times New Roman"/>
              </w:rPr>
              <w:t xml:space="preserve">177.303</w:t>
            </w:r>
          </w:p>
        </w:tc>
        <w:tc>
          <w:tcPr>
            <w:tcW w:w="1632.96" w:type="dxa"/>
            <w:vAlign w:val="center"/>
          </w:tcPr>
          <w:p>
            <w:pPr>
              <w:jc w:val="both"/>
              <w:pStyle w:val="CellColumn"/>
            </w:pPr>
            <w:r>
              <w:rPr>
                <w:rFonts w:hAnsi="Times New Roman" w:cs="Times New Roman"/>
              </w:rPr>
              <w:t xml:space="preserve">192.000</w:t>
            </w:r>
          </w:p>
        </w:tc>
        <w:tc>
          <w:tcPr>
            <w:tcW w:w="1632.96" w:type="dxa"/>
            <w:vAlign w:val="center"/>
          </w:tcPr>
          <w:p>
            <w:pPr>
              <w:jc w:val="both"/>
              <w:pStyle w:val="CellColumn"/>
            </w:pPr>
            <w:r>
              <w:rPr>
                <w:rFonts w:hAnsi="Times New Roman" w:cs="Times New Roman"/>
              </w:rPr>
              <w:t xml:space="preserve">206.000</w:t>
            </w:r>
          </w:p>
        </w:tc>
        <w:tc>
          <w:tcPr>
            <w:tcW w:w="1632.96" w:type="dxa"/>
            <w:vAlign w:val="center"/>
          </w:tcPr>
          <w:p>
            <w:pPr>
              <w:jc w:val="both"/>
              <w:pStyle w:val="CellColumn"/>
            </w:pPr>
            <w:r>
              <w:rPr>
                <w:rFonts w:hAnsi="Times New Roman" w:cs="Times New Roman"/>
              </w:rPr>
              <w:t xml:space="preserve">213.000</w:t>
            </w:r>
          </w:p>
        </w:tc>
        <w:tc>
          <w:tcPr>
            <w:tcW w:w="1632.96" w:type="dxa"/>
            <w:vAlign w:val="center"/>
          </w:tcPr>
          <w:p>
            <w:pPr>
              <w:jc w:val="both"/>
              <w:pStyle w:val="CellColumn"/>
            </w:pPr>
            <w:r>
              <w:rPr>
                <w:rFonts w:hAnsi="Times New Roman" w:cs="Times New Roman"/>
              </w:rPr>
              <w:t xml:space="preserve">213.000</w:t>
            </w:r>
          </w:p>
        </w:tc>
        <w:tc>
          <w:tcPr>
            <w:tcW w:w="510.3" w:type="dxa"/>
            <w:vAlign w:val="center"/>
          </w:tcPr>
          <w:p>
            <w:pPr>
              <w:jc w:val="both"/>
              <w:pStyle w:val="CellColumn"/>
            </w:pPr>
            <w:r>
              <w:rPr>
                <w:rFonts w:hAnsi="Times New Roman" w:cs="Times New Roman"/>
              </w:rPr>
              <w:t xml:space="preserve">107,3</w:t>
            </w:r>
          </w:p>
        </w:tc>
      </w:tr>
    </w:tbl>
    <w:p>
      <w:pPr>
        <w:jc w:val="left"/>
      </w:pPr>
      <w:r>
        <w:rPr>
          <w:rFonts w:hAnsi="Times New Roman" w:cs="Times New Roman"/>
        </w:rPr>
        <w:t xml:space="preserve"/>
      </w:r>
    </w:p>
    <w:p>
      <w:pPr>
        <w:jc w:val="both"/>
        <w:pStyle w:val="Normal"/>
      </w:pPr>
      <w:r>
        <w:rPr>
          <w:rFonts w:hAnsi="Times New Roman" w:cs="Times New Roman"/>
        </w:rPr>
        <w:t xml:space="preserve">Sudjelovanje RH u radu Savske komisije, koja se bavi pitanjem plovidbe i plovnog puta rijeke Save, kao i s ostalim međunarodnim institucijama iz područja unutarnje plovidbe, nužno je s više aspekata. Prilikom valorizacije riječnog prometa, Republika Hrvatska nastoji slijediti koncepciju integralnog pristupa utjecaja transporta na okoliš. Prema “European Water Framework Directive“, vodni putovi postaju dio integriranog plana upravljanja vodama radi očuvanja njihove biološke raznolikosti i ekološke vrijednosti. Okvirni sporazum o slivu rijeke Save, koji je Hrvatska inicirala, i koji je operacionaliziran osnivanjem Međunarodne komisije za upravljanje slivom rijeke Save (Savska komisija), upravo na tim principima uređuje pitanja upravljanja vodnim resursima, korištenja vodnog puta za plovidbu i zaštitu voda.   
</w:t>
      </w:r>
    </w:p>
    <w:p>
      <w:pPr>
        <w:jc w:val="both"/>
        <w:pStyle w:val="Normal"/>
      </w:pPr>
      <w:r>
        <w:rPr>
          <w:rFonts w:hAnsi="Times New Roman" w:cs="Times New Roman"/>
        </w:rPr>
        <w:t xml:space="preserve">Program "Međunarodna suradnja unutarnje plovidbe“ u cijelosti se provodi kroz projekt Rad Savske komisije te sudjelovanje u radu međunarodnih institucija s područja unutarnje plovidbe. Temeljem Okvirnog sporazuma, Republika Hrvatska se obvezala osigurati financijska sredstva za plaćanje najamnine, zakupnine poslovnog prostora za smještaj i nesmetan rad Savske komisije i osiguranje financijskih sredstava za članstvo RH u vidu kontribucije. Sjedište Savske komisije je u Zagrebu.   
</w:t>
      </w:r>
    </w:p>
    <w:p>
      <w:pPr>
        <w:jc w:val="both"/>
        <w:pStyle w:val="Normal"/>
      </w:pPr>
      <w:r>
        <w:rPr>
          <w:rFonts w:hAnsi="Times New Roman" w:cs="Times New Roman"/>
        </w:rPr>
        <w:t xml:space="preserve">Za ovu aktivnost u 2026. godini planiran je iznos od 206.000 €, od kojih se 130.000 € odnosi na zakupninu poslovnog prostora za smještaj Savske komisije, a 76.000 € na kontribuciju Republike Hrvatske.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Sudjelovanje na sjednicama Savske komisije</w:t>
            </w:r>
          </w:p>
        </w:tc>
        <w:tc>
          <w:tcPr>
            <w:tcW w:w="2245.32" w:type="dxa"/>
            <w:vAlign w:val="center"/>
          </w:tcPr>
          <w:p>
            <w:pPr>
              <w:jc w:val="both"/>
              <w:pStyle w:val="CellColumn"/>
            </w:pPr>
            <w:r>
              <w:rPr>
                <w:rFonts w:hAnsi="Times New Roman" w:cs="Times New Roman"/>
              </w:rPr>
              <w:t xml:space="preserve">Sudjelovanjem na sjednicama Savske komisije Republika Hrvatska aktivno sudjeluje u  donošenju zajedničkih odluka, protokola u dijelu sigurne plovidbe rijekom Savom zajedno sa ostalim zemljama članicama
</w:t>
            </w:r>
          </w:p>
          <w:p>
            <w:pPr>
              <w:jc w:val="both"/>
              <w:pStyle w:val="CellColumn"/>
            </w:pPr>
            <w:r>
              <w:rPr>
                <w:rFonts w:hAnsi="Times New Roman" w:cs="Times New Roman"/>
              </w:rPr>
              <w:t xml:space="preserve">Savske komisije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r>
    </w:tbl>
    <w:p>
      <w:pPr>
        <w:jc w:val="left"/>
      </w:pPr>
      <w:r>
        <w:rPr>
          <w:rFonts w:hAnsi="Times New Roman" w:cs="Times New Roman"/>
        </w:rPr>
        <w:t xml:space="preserve"/>
      </w:r>
    </w:p>
    <w:p>
      <w:pPr>
        <w:jc w:val="left"/>
        <w:pStyle w:val="Heading4"/>
      </w:pPr>
      <w:r>
        <w:rPr>
          <w:rFonts w:hAnsi="Times New Roman" w:cs="Times New Roman"/>
        </w:rPr>
        <w:t xml:space="preserve">K754068 EKO-REKUPA-REVITALIZACIJA RIJEKE KUPE ZA PUTNIČKU I SPORTSKU PLOVIDBU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K754068-EKO-REKUPA-REVITALIZACIJA RIJEKE KUPE ZA PUTNIČKU I SPORTSKU PLOVIDBU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134.000</w:t>
            </w:r>
          </w:p>
        </w:tc>
        <w:tc>
          <w:tcPr>
            <w:tcW w:w="1632.96" w:type="dxa"/>
            <w:vAlign w:val="center"/>
          </w:tcPr>
          <w:p>
            <w:pPr>
              <w:jc w:val="both"/>
              <w:pStyle w:val="CellColumn"/>
            </w:pPr>
            <w:r>
              <w:rPr>
                <w:rFonts w:hAnsi="Times New Roman" w:cs="Times New Roman"/>
              </w:rPr>
              <w:t xml:space="preserve">160.000</w:t>
            </w:r>
          </w:p>
        </w:tc>
        <w:tc>
          <w:tcPr>
            <w:tcW w:w="1632.96" w:type="dxa"/>
            <w:vAlign w:val="center"/>
          </w:tcPr>
          <w:p>
            <w:pPr>
              <w:jc w:val="both"/>
              <w:pStyle w:val="CellColumn"/>
            </w:pPr>
            <w:r>
              <w:rPr>
                <w:rFonts w:hAnsi="Times New Roman" w:cs="Times New Roman"/>
              </w:rPr>
              <w:t xml:space="preserve">160.000</w:t>
            </w:r>
          </w:p>
        </w:tc>
        <w:tc>
          <w:tcPr>
            <w:tcW w:w="1632.96" w:type="dxa"/>
            <w:vAlign w:val="center"/>
          </w:tcPr>
          <w:p>
            <w:pPr>
              <w:jc w:val="both"/>
              <w:pStyle w:val="CellColumn"/>
            </w:pPr>
            <w:r>
              <w:rPr>
                <w:rFonts w:hAnsi="Times New Roman" w:cs="Times New Roman"/>
              </w:rPr>
              <w:t xml:space="preserve">4.500.000</w:t>
            </w:r>
          </w:p>
        </w:tc>
        <w:tc>
          <w:tcPr>
            <w:tcW w:w="510.3" w:type="dxa"/>
            <w:vAlign w:val="center"/>
          </w:tcPr>
          <w:p>
            <w:pPr>
              <w:jc w:val="both"/>
              <w:pStyle w:val="CellColumn"/>
            </w:pPr>
            <w:r>
              <w:rPr>
                <w:rFonts w:hAnsi="Times New Roman" w:cs="Times New Roman"/>
              </w:rPr>
              <w:t xml:space="preserve">119,4</w:t>
            </w:r>
          </w:p>
        </w:tc>
      </w:tr>
    </w:tbl>
    <w:p>
      <w:pPr>
        <w:jc w:val="left"/>
      </w:pPr>
      <w:r>
        <w:rPr>
          <w:rFonts w:hAnsi="Times New Roman" w:cs="Times New Roman"/>
        </w:rPr>
        <w:t xml:space="preserve"/>
      </w:r>
    </w:p>
    <w:p>
      <w:pPr>
        <w:jc w:val="both"/>
        <w:pStyle w:val="Normal"/>
      </w:pPr>
      <w:r>
        <w:rPr>
          <w:rFonts w:hAnsi="Times New Roman" w:cs="Times New Roman"/>
        </w:rPr>
        <w:t xml:space="preserve">Tijekom 2019. godine je izrađena Studija predizvodljivosti EKO – revitalizacije rijeke Kupe za putničku i sportsku plovidbu s razvojem prateće infrastrukture. Predmetnom studijom, odabrano je najprihvatljivije rješenje za revitalizaciju rijeke Kupe i prateće infrastrukture. Studija je pokazala kako dionica od Sredičkog do Karlovca ima najviše predloženih lokacija za izgradnju manjih pristaništa, tj. najveću potrebu za definiranjem plovnog puta u svrhu sigurnosti plovidbe manjim plovilima. Nastavno na izrađenu Studiju predizvodljivosti, tijekom 2022/2023, izrađeno je Koncepcijsko rješenje infrastrukturnog uređenja plovnog puta rijeke Kupe i Elaborat zaštite okoliša te je ishođeno mišljenje Ministarstva gospodarstva i održivog razvoja o potrebi izrade Studije utjecaja na okoliš i Glavne ocjene prihvatljivosti. U 2025. godini potpisan je Ugovor za izradu studijsko-projektne dokumentacije za uređenje plovnog puta i pristaništa za brodove na rijeci kupi - II. faza.
</w:t>
      </w:r>
    </w:p>
    <w:p>
      <w:pPr>
        <w:jc w:val="both"/>
        <w:pStyle w:val="Normal"/>
      </w:pPr>
      <w:r>
        <w:rPr>
          <w:rFonts w:hAnsi="Times New Roman" w:cs="Times New Roman"/>
        </w:rPr>
        <w:t xml:space="preserve">U 2026. godini predviđen je nastavak projekta kroz II. fazu, koja obuhvaća nastavak izrade Studije utjecaja na okoliš te Idejnog projekta i Glavnog projekta. Svrha provedbe projekta je razvoj unutarnjih plovnih puteva i turizma uz revitalizacija područja oko rijeke Kupe, koja vodi ka razvoju regija uz unutarnje plovne putove.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Izrađena projektna dokumentacija (Koncepcijsko rješenje, Idejni i Glavni projekt)</w:t>
            </w:r>
          </w:p>
        </w:tc>
        <w:tc>
          <w:tcPr>
            <w:tcW w:w="2245.32" w:type="dxa"/>
            <w:vAlign w:val="center"/>
          </w:tcPr>
          <w:p>
            <w:pPr>
              <w:jc w:val="both"/>
              <w:pStyle w:val="CellColumn"/>
            </w:pPr>
            <w:r>
              <w:rPr>
                <w:rFonts w:hAnsi="Times New Roman" w:cs="Times New Roman"/>
              </w:rPr>
              <w:t xml:space="preserve">Izradom Koncepcijskog rješenja najvažnije dionice rijeke Kupe (Sredičko-Karlovac) za razvoj manjih pristaništa, uključujući i projektnu dokumentaciju za odabrane lokacije pristaništa, započet će revitalizacija područja oko rijeke Kupe i unapređenje plovnog puta uz prateću infrastrukturu.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3</w:t>
            </w:r>
          </w:p>
        </w:tc>
      </w:tr>
    </w:tbl>
    <w:p>
      <w:pPr>
        <w:jc w:val="left"/>
      </w:pPr>
      <w:r>
        <w:rPr>
          <w:rFonts w:hAnsi="Times New Roman" w:cs="Times New Roman"/>
        </w:rPr>
        <w:t xml:space="preserve"/>
      </w:r>
    </w:p>
    <w:p>
      <w:pPr>
        <w:jc w:val="left"/>
        <w:pStyle w:val="Heading4"/>
      </w:pPr>
      <w:r>
        <w:rPr>
          <w:rFonts w:hAnsi="Times New Roman" w:cs="Times New Roman"/>
        </w:rPr>
        <w:t xml:space="preserve">K761084 CEF-FAIRWAY DANUBE 2-BUDUĆI KORACI ZA UNAPRJEĐENJE PLOVIDBE NA DUNAVU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uspostavi institucionalnog okvira za provedbu europskih strukturnih i investicijskih fondova u Republici Hrvatskoj u financijskom razdoblju 2014.-2020 
</w:t>
      </w:r>
    </w:p>
    <w:p>
      <w:pPr>
        <w:jc w:val="both"/>
        <w:pStyle w:val="Normal5"/>
      </w:pPr>
      <w:r>
        <w:rPr>
          <w:rFonts w:hAnsi="Times New Roman" w:cs="Times New Roman"/>
        </w:rPr>
        <w:t xml:space="preserve">- Zakon o plovidbi i  lukama unutarnjih voda, članak 145., stavak 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K761084-CEF-FAIRWAY DANUBE 2-BUDUĆI KORACI ZA UNAPRJEĐENJE PLOVIDBE NA DUNAVU</w:t>
            </w:r>
          </w:p>
        </w:tc>
        <w:tc>
          <w:tcPr>
            <w:tcW w:w="1632.96" w:type="dxa"/>
            <w:vAlign w:val="center"/>
          </w:tcPr>
          <w:p>
            <w:pPr>
              <w:jc w:val="both"/>
              <w:pStyle w:val="CellColumn"/>
            </w:pPr>
            <w:r>
              <w:rPr>
                <w:rFonts w:hAnsi="Times New Roman" w:cs="Times New Roman"/>
              </w:rPr>
              <w:t xml:space="preserve">5.261</w:t>
            </w:r>
          </w:p>
        </w:tc>
        <w:tc>
          <w:tcPr>
            <w:tcW w:w="1632.96" w:type="dxa"/>
            <w:vAlign w:val="center"/>
          </w:tcPr>
          <w:p>
            <w:pPr>
              <w:jc w:val="both"/>
              <w:pStyle w:val="CellColumn"/>
            </w:pPr>
            <w:r>
              <w:rPr>
                <w:rFonts w:hAnsi="Times New Roman" w:cs="Times New Roman"/>
              </w:rPr>
              <w:t xml:space="preserve">1.514.725</w:t>
            </w:r>
          </w:p>
        </w:tc>
        <w:tc>
          <w:tcPr>
            <w:tcW w:w="1632.96" w:type="dxa"/>
            <w:vAlign w:val="center"/>
          </w:tcPr>
          <w:p>
            <w:pPr>
              <w:jc w:val="both"/>
              <w:pStyle w:val="CellColumn"/>
            </w:pPr>
            <w:r>
              <w:rPr>
                <w:rFonts w:hAnsi="Times New Roman" w:cs="Times New Roman"/>
              </w:rPr>
              <w:t xml:space="preserve">2.190.450</w:t>
            </w:r>
          </w:p>
        </w:tc>
        <w:tc>
          <w:tcPr>
            <w:tcW w:w="1632.96" w:type="dxa"/>
            <w:vAlign w:val="center"/>
          </w:tcPr>
          <w:p>
            <w:pPr>
              <w:jc w:val="both"/>
              <w:pStyle w:val="CellColumn"/>
            </w:pPr>
            <w:r>
              <w:rPr>
                <w:rFonts w:hAnsi="Times New Roman" w:cs="Times New Roman"/>
              </w:rPr>
              <w:t xml:space="preserve">1.015.250</w:t>
            </w:r>
          </w:p>
        </w:tc>
        <w:tc>
          <w:tcPr>
            <w:tcW w:w="1632.96" w:type="dxa"/>
            <w:vAlign w:val="center"/>
          </w:tcPr>
          <w:p>
            <w:pPr>
              <w:jc w:val="both"/>
              <w:pStyle w:val="CellColumn"/>
            </w:pPr>
            <w:r>
              <w:rPr>
                <w:rFonts w:hAnsi="Times New Roman" w:cs="Times New Roman"/>
              </w:rPr>
              <w:t xml:space="preserve">549.250</w:t>
            </w:r>
          </w:p>
        </w:tc>
        <w:tc>
          <w:tcPr>
            <w:tcW w:w="510.3" w:type="dxa"/>
            <w:vAlign w:val="center"/>
          </w:tcPr>
          <w:p>
            <w:pPr>
              <w:jc w:val="both"/>
              <w:pStyle w:val="CellColumn"/>
            </w:pPr>
            <w:r>
              <w:rPr>
                <w:rFonts w:hAnsi="Times New Roman" w:cs="Times New Roman"/>
              </w:rPr>
              <w:t xml:space="preserve">144,6</w:t>
            </w:r>
          </w:p>
        </w:tc>
      </w:tr>
    </w:tbl>
    <w:p>
      <w:pPr>
        <w:jc w:val="left"/>
      </w:pPr>
      <w:r>
        <w:rPr>
          <w:rFonts w:hAnsi="Times New Roman" w:cs="Times New Roman"/>
        </w:rPr>
        <w:t xml:space="preserve"/>
      </w:r>
    </w:p>
    <w:p>
      <w:pPr>
        <w:jc w:val="both"/>
        <w:pStyle w:val="Normal"/>
      </w:pPr>
      <w:r>
        <w:rPr>
          <w:rFonts w:hAnsi="Times New Roman" w:cs="Times New Roman"/>
        </w:rPr>
        <w:t xml:space="preserve">Višekorisnički projekt „FAIRway Danube II odobren je za EU sufinanciranje unutar CEF 2021. – 2027. poziva u području prometa službene oznake GAP-101122576 - 22-EU-TG-FAIRway Danube II. Ministarstvo mora, prometa i infrastrukture sudjeluje na projektu zajedno s partnerima iz Lučke uprave Vukovar te administracijama zaduženim za upravljanje vodnim putovima: viadonau iz Austrije, SVP iz Slovačke, OVF iz Mađarske, AFDJ i ACN iz Rumunjske i APPD iz Bugarske.  Na temelju Financijskog izvještaja od jeseni 2025. utvrđeno je da će se izvršenje provedbe projekta morati produljiti za godinu dana zbog kašnjenja provedbe javnih nabava u svim državama-partnerima, a time i do kašnjenja u provedbi pilot-aktivnosti u slopu projekta.
</w:t>
      </w:r>
    </w:p>
    <w:p>
      <w:pPr>
        <w:jc w:val="both"/>
        <w:pStyle w:val="Normal"/>
      </w:pPr>
      <w:r>
        <w:rPr>
          <w:rFonts w:hAnsi="Times New Roman" w:cs="Times New Roman"/>
        </w:rPr>
        <w:t xml:space="preserve">Unutar projekt planiraju se sljedeće aktivnosti:  
</w:t>
      </w:r>
    </w:p>
    <w:p>
      <w:pPr>
        <w:jc w:val="both"/>
        <w:pStyle w:val="Normal"/>
      </w:pPr>
      <w:r>
        <w:rPr>
          <w:rFonts w:hAnsi="Times New Roman" w:cs="Times New Roman"/>
        </w:rPr>
        <w:t xml:space="preserve">-	izrada periodičnih Izvješća o stanju vodnih putova koja će predstavljati put ka ostvarenju ciljeva iz Master plana za održavanje i rehabilitaciju plovnih putova; 
</w:t>
      </w:r>
    </w:p>
    <w:p>
      <w:pPr>
        <w:jc w:val="both"/>
        <w:pStyle w:val="Normal"/>
      </w:pPr>
      <w:r>
        <w:rPr>
          <w:rFonts w:hAnsi="Times New Roman" w:cs="Times New Roman"/>
        </w:rPr>
        <w:t xml:space="preserve">-	nabavka opreme za snimanje i obilježavanje plovnog puta te praćenje stanja plovnog puta (nabavka AIS plutača, zemaljskog laserskog skenera koji radi na lidar 3D tehnologiji, nabavka novih softvera, nabavka drona sa jednosnopnim dubinomjerom za snimanje plićaka, nabavka rtks zračnog drona) a u svrhu ostvarivanja dobrih uvjeta plovidbe.  
</w:t>
      </w:r>
    </w:p>
    <w:p>
      <w:pPr>
        <w:jc w:val="both"/>
        <w:pStyle w:val="Normal"/>
      </w:pPr>
      <w:r>
        <w:rPr>
          <w:rFonts w:hAnsi="Times New Roman" w:cs="Times New Roman"/>
        </w:rPr>
        <w:t xml:space="preserve">-	daljnji razvoj nacionalnog sustava za upravljanje plovnim putovima (WAMS) i transnacionalnog monitoring sustava (WAMOS)  
</w:t>
      </w:r>
    </w:p>
    <w:p>
      <w:pPr>
        <w:jc w:val="both"/>
        <w:pStyle w:val="Normal"/>
      </w:pPr>
      <w:r>
        <w:rPr>
          <w:rFonts w:hAnsi="Times New Roman" w:cs="Times New Roman"/>
        </w:rPr>
        <w:t xml:space="preserve">-	pilot aktivnosti „Mobilni infrastrukturni elementi“ koje će doprinijeti smanjenju troškova tehničkog održavanja plovnog puta rijeke Dunav. 
</w:t>
      </w:r>
    </w:p>
    <w:p>
      <w:pPr>
        <w:jc w:val="both"/>
        <w:pStyle w:val="Normal"/>
      </w:pPr>
      <w:r>
        <w:rPr>
          <w:rFonts w:hAnsi="Times New Roman" w:cs="Times New Roman"/>
        </w:rPr>
        <w:t xml:space="preserve">Financijska sredstva iz Proračuna RH u 2026. godini su predviđena za rashode za zaposlene, intelektualne i osobne usluge, materijalnu imovinu, ostale materijalne rashode te na ostalu nematerijalnu imovinu.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Stupanj provedbe pilot aktivnosti „Mobilni infrastrukturni elementi“</w:t>
            </w:r>
          </w:p>
        </w:tc>
        <w:tc>
          <w:tcPr>
            <w:tcW w:w="2245.32" w:type="dxa"/>
            <w:vAlign w:val="center"/>
          </w:tcPr>
          <w:p>
            <w:pPr>
              <w:jc w:val="both"/>
              <w:pStyle w:val="CellColumn"/>
            </w:pPr>
            <w:r>
              <w:rPr>
                <w:rFonts w:hAnsi="Times New Roman" w:cs="Times New Roman"/>
              </w:rPr>
              <w:t xml:space="preserve">Mobilni elementi u obliku natovarenih teglenica/barži biti će strateški postavljenje na ušće rijeke Drave i sidrene u korito rijeke sidrima, a u svrhu osiguranja dodatne dubine plovnog puta u slučaju niskog vodostaja, što se postiže stvaranjem većih brzina protoka koji prenose sediment dalje od plićaka, odnosno spruda. Ovom metodom koristi se isključivo dinamika rijeke te dodatne intervencije u vidu jaružanja nisu potrebne.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60</w:t>
            </w:r>
          </w:p>
        </w:tc>
        <w:tc>
          <w:tcPr>
            <w:tcW w:w="918.54" w:type="dxa"/>
            <w:vAlign w:val="center"/>
          </w:tcPr>
          <w:p>
            <w:pPr>
              <w:jc w:val="both"/>
              <w:pStyle w:val="CellColumn"/>
            </w:pPr>
            <w:r>
              <w:rPr>
                <w:rFonts w:hAnsi="Times New Roman" w:cs="Times New Roman"/>
              </w:rPr>
              <w:t xml:space="preserve">90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K810001 GRADNJA I TEHNIČKO ODRŽAVANJE PLOVNIH PUTOVA UNUTARNJIH VODA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članak 145., stavak 3.
</w:t>
      </w:r>
    </w:p>
    <w:p>
      <w:pPr>
        <w:jc w:val="both"/>
        <w:pStyle w:val="Normal5"/>
      </w:pPr>
      <w:r>
        <w:rPr>
          <w:rFonts w:hAnsi="Times New Roman" w:cs="Times New Roman"/>
        </w:rPr>
        <w:t xml:space="preserve">- Pravilnik o tehničkom održavanju vodnih putova; članak 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K810001-GRADNJA I TEHNIČKO ODRŽAVANJE PLOVNIH PUTOVA UNUTARNJIH VODA</w:t>
            </w:r>
          </w:p>
        </w:tc>
        <w:tc>
          <w:tcPr>
            <w:tcW w:w="1632.96" w:type="dxa"/>
            <w:vAlign w:val="center"/>
          </w:tcPr>
          <w:p>
            <w:pPr>
              <w:jc w:val="both"/>
              <w:pStyle w:val="CellColumn"/>
            </w:pPr>
            <w:r>
              <w:rPr>
                <w:rFonts w:hAnsi="Times New Roman" w:cs="Times New Roman"/>
              </w:rPr>
              <w:t xml:space="preserve">2.321.848</w:t>
            </w:r>
          </w:p>
        </w:tc>
        <w:tc>
          <w:tcPr>
            <w:tcW w:w="1632.96" w:type="dxa"/>
            <w:vAlign w:val="center"/>
          </w:tcPr>
          <w:p>
            <w:pPr>
              <w:jc w:val="both"/>
              <w:pStyle w:val="CellColumn"/>
            </w:pPr>
            <w:r>
              <w:rPr>
                <w:rFonts w:hAnsi="Times New Roman" w:cs="Times New Roman"/>
              </w:rPr>
              <w:t xml:space="preserve">2.439.100</w:t>
            </w:r>
          </w:p>
        </w:tc>
        <w:tc>
          <w:tcPr>
            <w:tcW w:w="1632.96" w:type="dxa"/>
            <w:vAlign w:val="center"/>
          </w:tcPr>
          <w:p>
            <w:pPr>
              <w:jc w:val="both"/>
              <w:pStyle w:val="CellColumn"/>
            </w:pPr>
            <w:r>
              <w:rPr>
                <w:rFonts w:hAnsi="Times New Roman" w:cs="Times New Roman"/>
              </w:rPr>
              <w:t xml:space="preserve">3.821.000</w:t>
            </w:r>
          </w:p>
        </w:tc>
        <w:tc>
          <w:tcPr>
            <w:tcW w:w="1632.96" w:type="dxa"/>
            <w:vAlign w:val="center"/>
          </w:tcPr>
          <w:p>
            <w:pPr>
              <w:jc w:val="both"/>
              <w:pStyle w:val="CellColumn"/>
            </w:pPr>
            <w:r>
              <w:rPr>
                <w:rFonts w:hAnsi="Times New Roman" w:cs="Times New Roman"/>
              </w:rPr>
              <w:t xml:space="preserve">4.298.000</w:t>
            </w:r>
          </w:p>
        </w:tc>
        <w:tc>
          <w:tcPr>
            <w:tcW w:w="1632.96" w:type="dxa"/>
            <w:vAlign w:val="center"/>
          </w:tcPr>
          <w:p>
            <w:pPr>
              <w:jc w:val="both"/>
              <w:pStyle w:val="CellColumn"/>
            </w:pPr>
            <w:r>
              <w:rPr>
                <w:rFonts w:hAnsi="Times New Roman" w:cs="Times New Roman"/>
              </w:rPr>
              <w:t xml:space="preserve">3.849.000</w:t>
            </w:r>
          </w:p>
        </w:tc>
        <w:tc>
          <w:tcPr>
            <w:tcW w:w="510.3" w:type="dxa"/>
            <w:vAlign w:val="center"/>
          </w:tcPr>
          <w:p>
            <w:pPr>
              <w:jc w:val="both"/>
              <w:pStyle w:val="CellColumn"/>
            </w:pPr>
            <w:r>
              <w:rPr>
                <w:rFonts w:hAnsi="Times New Roman" w:cs="Times New Roman"/>
              </w:rPr>
              <w:t xml:space="preserve">156,7</w:t>
            </w:r>
          </w:p>
        </w:tc>
      </w:tr>
    </w:tbl>
    <w:p>
      <w:pPr>
        <w:jc w:val="left"/>
      </w:pPr>
      <w:r>
        <w:rPr>
          <w:rFonts w:hAnsi="Times New Roman" w:cs="Times New Roman"/>
        </w:rPr>
        <w:t xml:space="preserve"/>
      </w:r>
    </w:p>
    <w:p>
      <w:pPr>
        <w:jc w:val="both"/>
        <w:pStyle w:val="Normal"/>
      </w:pPr>
      <w:r>
        <w:rPr>
          <w:rFonts w:hAnsi="Times New Roman" w:cs="Times New Roman"/>
        </w:rPr>
        <w:t xml:space="preserve">Ovaj projekt obuhvaća gradnju, tehničko unapređenje i prometno-tehnološku modernizaciju vodnih putova. U sklopu projekta, uz gradnju infrastrukturnih objekata u vodnom putu, planiraju se i radovi tehničkog održavanja vodnog puta, održavanje objekata sigurnosti plovidbe i obilježavanje plovnih putova u svrhu održavanja sigurnost plovidbe. Preduvjet sigurne plovidbe, uz gradnju i tehničko održavanje vodnih putova, je i redovna ophodnja te snimanje vodnih putova. Svi ovi radovi su po svojoj osnovi specifični, često nepredvidljivi i njihov opseg ovisi o klimatskim i hidrološkim prilikama u vodnom tijelu. 
</w:t>
      </w:r>
    </w:p>
    <w:p>
      <w:pPr>
        <w:jc w:val="both"/>
        <w:pStyle w:val="Normal"/>
      </w:pPr>
      <w:r>
        <w:rPr>
          <w:rFonts w:hAnsi="Times New Roman" w:cs="Times New Roman"/>
        </w:rPr>
        <w:t xml:space="preserve">Planirani radovi u navedenom razdoblju uključuju radove tehničkog održavanja kritičnih dionica na rijekama Savi, Dravi i Dunavu, interventne radove tehničkog održavanja kinete plovnog puta po nalogu inspekcije na rijekama Savi, Dravi i Dunavu , usluge popravaka postavljenih plovnih i obalnih oznaka, izrade novih plovnih i obalnih oznaka, te radove obilježavanja plovnih putova. Projekt uključuje i izradu podloga (elaborata studija i projekta) u svrhu monitoringa stanja plovnih putova, praćenja stanja ekološke mreže i morfoloških promjena u vodnom tijelu. U okviru ovog projekta planirano je povećanje sredstava u 2026. godini zbog interventnih radova tehničkog održavanja na najkritičnijoj dionici rijeke Save (Jaruge –Novi Grad) te interventnih radova tehničkog održavanja na rijeci Dravi.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rkm vodnih putova uređenih na deklariranu klasu plovnosti</w:t>
            </w:r>
          </w:p>
        </w:tc>
        <w:tc>
          <w:tcPr>
            <w:tcW w:w="2245.32" w:type="dxa"/>
            <w:vAlign w:val="center"/>
          </w:tcPr>
          <w:p>
            <w:pPr>
              <w:jc w:val="both"/>
              <w:pStyle w:val="CellColumn"/>
            </w:pPr>
            <w:r>
              <w:rPr>
                <w:rFonts w:hAnsi="Times New Roman" w:cs="Times New Roman"/>
              </w:rPr>
              <w:t xml:space="preserve">Vodni putovi uređeni na deklariranu klasu plovnosti su vodni putovi koji udovoljavaju svim parametrima definiranim međunarodnim ili nacionalnim propisima ovisno o vrsti vodnog puta (međunarodni ili nacionalni)</w:t>
            </w:r>
          </w:p>
        </w:tc>
        <w:tc>
          <w:tcPr>
            <w:tcW w:w="918.54" w:type="dxa"/>
            <w:vAlign w:val="center"/>
          </w:tcPr>
          <w:p>
            <w:pPr>
              <w:jc w:val="both"/>
              <w:pStyle w:val="CellColumn"/>
            </w:pPr>
            <w:r>
              <w:rPr>
                <w:rFonts w:hAnsi="Times New Roman" w:cs="Times New Roman"/>
              </w:rPr>
              <w:t xml:space="preserve">rkm</w:t>
            </w:r>
          </w:p>
        </w:tc>
        <w:tc>
          <w:tcPr>
            <w:tcW w:w="918.54" w:type="dxa"/>
            <w:vAlign w:val="center"/>
          </w:tcPr>
          <w:p>
            <w:pPr>
              <w:jc w:val="both"/>
              <w:pStyle w:val="CellColumn"/>
            </w:pPr>
            <w:r>
              <w:rPr>
                <w:rFonts w:hAnsi="Times New Roman" w:cs="Times New Roman"/>
              </w:rPr>
              <w:t xml:space="preserve">474</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474</w:t>
            </w:r>
          </w:p>
        </w:tc>
        <w:tc>
          <w:tcPr>
            <w:tcW w:w="918.54" w:type="dxa"/>
            <w:vAlign w:val="center"/>
          </w:tcPr>
          <w:p>
            <w:pPr>
              <w:jc w:val="both"/>
              <w:pStyle w:val="CellColumn"/>
            </w:pPr>
            <w:r>
              <w:rPr>
                <w:rFonts w:hAnsi="Times New Roman" w:cs="Times New Roman"/>
              </w:rPr>
              <w:t xml:space="preserve">474</w:t>
            </w:r>
          </w:p>
        </w:tc>
        <w:tc>
          <w:tcPr>
            <w:tcW w:w="918.54" w:type="dxa"/>
            <w:vAlign w:val="center"/>
          </w:tcPr>
          <w:p>
            <w:pPr>
              <w:jc w:val="both"/>
              <w:pStyle w:val="CellColumn"/>
            </w:pPr>
            <w:r>
              <w:rPr>
                <w:rFonts w:hAnsi="Times New Roman" w:cs="Times New Roman"/>
              </w:rPr>
              <w:t xml:space="preserve">482</w:t>
            </w:r>
          </w:p>
        </w:tc>
      </w:tr>
    </w:tbl>
    <w:p>
      <w:pPr>
        <w:jc w:val="left"/>
      </w:pPr>
      <w:r>
        <w:rPr>
          <w:rFonts w:hAnsi="Times New Roman" w:cs="Times New Roman"/>
        </w:rPr>
        <w:t xml:space="preserve"/>
      </w:r>
    </w:p>
    <w:p>
      <w:pPr>
        <w:jc w:val="left"/>
        <w:pStyle w:val="Heading4"/>
      </w:pPr>
      <w:r>
        <w:rPr>
          <w:rFonts w:hAnsi="Times New Roman" w:cs="Times New Roman"/>
        </w:rPr>
        <w:t xml:space="preserve">K810006 IZGRADNJA VIŠENAMJENSKOG KANALA DUNAV-SAVA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članak 145., stavak 3. 
</w:t>
      </w:r>
    </w:p>
    <w:p>
      <w:pPr>
        <w:jc w:val="both"/>
        <w:pStyle w:val="Normal5"/>
      </w:pPr>
      <w:r>
        <w:rPr>
          <w:rFonts w:hAnsi="Times New Roman" w:cs="Times New Roman"/>
        </w:rPr>
        <w:t xml:space="preserve">- Ugovor o glavnim unutarnjim plovnim putovima od međunarodnog značenja potpisan u Helskinkiju 24. lipnja 1997. godine, Hrvatski Sabor potvrdio je Ugovor 12. studenog 1998. godine, članak 2 i Aneks III.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K810006-IZGRADNJA VIŠENAMJENSKOG KANALA DUNAV-SAVA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5.000</w:t>
            </w:r>
          </w:p>
        </w:tc>
        <w:tc>
          <w:tcPr>
            <w:tcW w:w="1632.96" w:type="dxa"/>
            <w:vAlign w:val="center"/>
          </w:tcPr>
          <w:p>
            <w:pPr>
              <w:jc w:val="both"/>
              <w:pStyle w:val="CellColumn"/>
            </w:pPr>
            <w:r>
              <w:rPr>
                <w:rFonts w:hAnsi="Times New Roman" w:cs="Times New Roman"/>
              </w:rPr>
              <w:t xml:space="preserve">10.000</w:t>
            </w:r>
          </w:p>
        </w:tc>
        <w:tc>
          <w:tcPr>
            <w:tcW w:w="1632.96" w:type="dxa"/>
            <w:vAlign w:val="center"/>
          </w:tcPr>
          <w:p>
            <w:pPr>
              <w:jc w:val="both"/>
              <w:pStyle w:val="CellColumn"/>
            </w:pPr>
            <w:r>
              <w:rPr>
                <w:rFonts w:hAnsi="Times New Roman" w:cs="Times New Roman"/>
              </w:rPr>
              <w:t xml:space="preserve">10.000</w:t>
            </w:r>
          </w:p>
        </w:tc>
        <w:tc>
          <w:tcPr>
            <w:tcW w:w="1632.96" w:type="dxa"/>
            <w:vAlign w:val="center"/>
          </w:tcPr>
          <w:p>
            <w:pPr>
              <w:jc w:val="both"/>
              <w:pStyle w:val="CellColumn"/>
            </w:pPr>
            <w:r>
              <w:rPr>
                <w:rFonts w:hAnsi="Times New Roman" w:cs="Times New Roman"/>
              </w:rPr>
              <w:t xml:space="preserve">10.000</w:t>
            </w:r>
          </w:p>
        </w:tc>
        <w:tc>
          <w:tcPr>
            <w:tcW w:w="510.3" w:type="dxa"/>
            <w:vAlign w:val="center"/>
          </w:tcPr>
          <w:p>
            <w:pPr>
              <w:jc w:val="both"/>
              <w:pStyle w:val="CellColumn"/>
            </w:pPr>
            <w:r>
              <w:rPr>
                <w:rFonts w:hAnsi="Times New Roman" w:cs="Times New Roman"/>
              </w:rPr>
              <w:t xml:space="preserve">200,0</w:t>
            </w:r>
          </w:p>
        </w:tc>
      </w:tr>
    </w:tbl>
    <w:p>
      <w:pPr>
        <w:jc w:val="left"/>
      </w:pPr>
      <w:r>
        <w:rPr>
          <w:rFonts w:hAnsi="Times New Roman" w:cs="Times New Roman"/>
        </w:rPr>
        <w:t xml:space="preserve"/>
      </w:r>
    </w:p>
    <w:p>
      <w:pPr>
        <w:jc w:val="both"/>
        <w:pStyle w:val="Normal"/>
      </w:pPr>
      <w:r>
        <w:rPr>
          <w:rFonts w:hAnsi="Times New Roman" w:cs="Times New Roman"/>
        </w:rPr>
        <w:t xml:space="preserve">Projekt se odnosi se na izgradnju višenamjenskog kanala Dunav-Sava te se provodi u dužem vremenskom periodu. 
</w:t>
      </w:r>
    </w:p>
    <w:p>
      <w:pPr>
        <w:jc w:val="both"/>
        <w:pStyle w:val="Normal"/>
      </w:pPr>
      <w:r>
        <w:rPr>
          <w:rFonts w:hAnsi="Times New Roman" w:cs="Times New Roman"/>
        </w:rPr>
        <w:t xml:space="preserve">Ovom aktivnošću planiran je nastavak monitoringa šumskih ekosustava na području lokacije budućeg višenamjenskog kanala Dunav-Sava, a čija je obveza proizašla iz Rješenja o usvajanju Studije o utjecaju na okoliš predmetnog kanala. Iz tog razloga, u narednom trogodišnjem razdoblju planirana su veća financijska sredstva.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Stupanj izrade studijsko projekte dokumentacije definirane Studije opravdanosti</w:t>
            </w:r>
          </w:p>
        </w:tc>
        <w:tc>
          <w:tcPr>
            <w:tcW w:w="2245.32" w:type="dxa"/>
            <w:vAlign w:val="center"/>
          </w:tcPr>
          <w:p>
            <w:pPr>
              <w:jc w:val="both"/>
              <w:pStyle w:val="CellColumn"/>
            </w:pPr>
            <w:r>
              <w:rPr>
                <w:rFonts w:hAnsi="Times New Roman" w:cs="Times New Roman"/>
              </w:rPr>
              <w:t xml:space="preserve">Izradom studije opravdanosti  VKDS-a odredit će se studijsko projektna dokumentacija koja će biti potrebna za ishođenje svih dozvola prije početka radova na izgradnji VKDS-</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4"/>
      </w:pPr>
      <w:r>
        <w:rPr>
          <w:rFonts w:hAnsi="Times New Roman" w:cs="Times New Roman"/>
        </w:rPr>
        <w:t xml:space="preserve">K810024 IZGRADNJA PLOVILA I PLOVNIH OBJEKATA U RIJEČNOJ PLOVIDBI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plovidbi i lukama unutarnjih voda; članak 145, stavak 3. 
</w:t>
      </w:r>
    </w:p>
    <w:p>
      <w:pPr>
        <w:jc w:val="both"/>
        <w:pStyle w:val="Normal5"/>
      </w:pPr>
      <w:r>
        <w:rPr>
          <w:rFonts w:hAnsi="Times New Roman" w:cs="Times New Roman"/>
        </w:rPr>
        <w:t xml:space="preserve">- Uredba o tehničko-tehnološkim uvjetima za luke i uvjetima sigurnosti plovidbe u lukama i pristaništima unutarnjih voda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K810024-IZGRADNJA PLOVILA I PLOVNIH OBJEKATA U RIJEČNOJ PLOVIDBI</w:t>
            </w:r>
          </w:p>
        </w:tc>
        <w:tc>
          <w:tcPr>
            <w:tcW w:w="1632.96" w:type="dxa"/>
            <w:vAlign w:val="center"/>
          </w:tcPr>
          <w:p>
            <w:pPr>
              <w:jc w:val="both"/>
              <w:pStyle w:val="CellColumn"/>
            </w:pPr>
            <w:r>
              <w:rPr>
                <w:rFonts w:hAnsi="Times New Roman" w:cs="Times New Roman"/>
              </w:rPr>
              <w:t xml:space="preserve">303.404</w:t>
            </w:r>
          </w:p>
        </w:tc>
        <w:tc>
          <w:tcPr>
            <w:tcW w:w="1632.96" w:type="dxa"/>
            <w:vAlign w:val="center"/>
          </w:tcPr>
          <w:p>
            <w:pPr>
              <w:jc w:val="both"/>
              <w:pStyle w:val="CellColumn"/>
            </w:pPr>
            <w:r>
              <w:rPr>
                <w:rFonts w:hAnsi="Times New Roman" w:cs="Times New Roman"/>
              </w:rPr>
              <w:t xml:space="preserve">40.000</w:t>
            </w:r>
          </w:p>
        </w:tc>
        <w:tc>
          <w:tcPr>
            <w:tcW w:w="1632.96" w:type="dxa"/>
            <w:vAlign w:val="center"/>
          </w:tcPr>
          <w:p>
            <w:pPr>
              <w:jc w:val="both"/>
              <w:pStyle w:val="CellColumn"/>
            </w:pPr>
            <w:r>
              <w:rPr>
                <w:rFonts w:hAnsi="Times New Roman" w:cs="Times New Roman"/>
              </w:rPr>
              <w:t xml:space="preserve">40.000</w:t>
            </w:r>
          </w:p>
        </w:tc>
        <w:tc>
          <w:tcPr>
            <w:tcW w:w="1632.96" w:type="dxa"/>
            <w:vAlign w:val="center"/>
          </w:tcPr>
          <w:p>
            <w:pPr>
              <w:jc w:val="both"/>
              <w:pStyle w:val="CellColumn"/>
            </w:pPr>
            <w:r>
              <w:rPr>
                <w:rFonts w:hAnsi="Times New Roman" w:cs="Times New Roman"/>
              </w:rPr>
              <w:t xml:space="preserve">40.000</w:t>
            </w:r>
          </w:p>
        </w:tc>
        <w:tc>
          <w:tcPr>
            <w:tcW w:w="1632.96" w:type="dxa"/>
            <w:vAlign w:val="center"/>
          </w:tcPr>
          <w:p>
            <w:pPr>
              <w:jc w:val="both"/>
              <w:pStyle w:val="CellColumn"/>
            </w:pPr>
            <w:r>
              <w:rPr>
                <w:rFonts w:hAnsi="Times New Roman" w:cs="Times New Roman"/>
              </w:rPr>
              <w:t xml:space="preserve">40.000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Ovim projektom nastavljaju se aktivnosti u svrhu postavljanja pristana za plovila Ministarstva mora, prometa i infrastrukture iz nadležnosti unutarnje plovidbe.  
</w:t>
      </w:r>
    </w:p>
    <w:p>
      <w:pPr>
        <w:jc w:val="both"/>
        <w:pStyle w:val="Normal"/>
      </w:pPr>
      <w:r>
        <w:rPr>
          <w:rFonts w:hAnsi="Times New Roman" w:cs="Times New Roman"/>
        </w:rPr>
        <w:t xml:space="preserve">Na rijeci Savi postoji potreba za izgradnjom pristana/plovnih objekata na širem području grada Siska i Slavonskog Broda, za što je potrebno izraditi projektno tehničku dokumentaciju kako bi se moglo započeti s izgradnjom istih.  
</w:t>
      </w:r>
    </w:p>
    <w:p>
      <w:pPr>
        <w:jc w:val="both"/>
        <w:pStyle w:val="Normal"/>
      </w:pPr>
      <w:r>
        <w:rPr>
          <w:rFonts w:hAnsi="Times New Roman" w:cs="Times New Roman"/>
        </w:rPr>
        <w:t xml:space="preserve">Na rijeci Dunav također postoji potreba za izgradnjom pristana/plovnog objekta na lokaciji Vukovar, kod Nove marine. Uvjeti za realizaciju projekta će se stvoriti nakon izgradnje zaštitno vodne građevine, koja je u nadležnosti Hrvatskih voda. Na planirani ponton se planiraju izmjestiti sva plovila Ministarstva mora, prometa i infrastrukture koja se nalaze u lučici kraj Otoka sportova u Vukovaru. U svrhu izgradnje ovog pristana potrebno je izraditi projektno tehničku dokumentaciju.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izgrađenih plovnih objekata</w:t>
            </w:r>
          </w:p>
        </w:tc>
        <w:tc>
          <w:tcPr>
            <w:tcW w:w="2245.32" w:type="dxa"/>
            <w:vAlign w:val="center"/>
          </w:tcPr>
          <w:p>
            <w:pPr>
              <w:jc w:val="both"/>
              <w:pStyle w:val="CellColumn"/>
            </w:pPr>
            <w:r>
              <w:rPr>
                <w:rFonts w:hAnsi="Times New Roman" w:cs="Times New Roman"/>
              </w:rPr>
              <w:t xml:space="preserve">Izgradnja pristana je osnovna infrastrukuta za privez službenih plovila Ministarstva mora prometa i infrastrukture iz nadležnosti unutarnje plovidbe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 i Lučke uprave unutarnjih voda</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K820086 CEF SAWA - UREĐENJE PLOVNOG PUTA RIJEKE SAVE NA DIONICI OD RAČINOVACA DO SISKA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provedbe programa EU i sustavu provedbe projekata financiranih iz sredstava zajmova i darovnica iz ostalih inozemnih izvora (NN 58/06)
</w:t>
      </w:r>
    </w:p>
    <w:p>
      <w:pPr>
        <w:jc w:val="both"/>
        <w:pStyle w:val="Normal5"/>
      </w:pPr>
      <w:r>
        <w:rPr>
          <w:rFonts w:hAnsi="Times New Roman" w:cs="Times New Roman"/>
        </w:rPr>
        <w:t xml:space="preserve">-	Zakon o plovidbi i lukama unutarnjih voda (NN 144/21)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K820086-CEF SAWA - UREĐENJE PLOVNOG PUTA RIJEKE SAVE NA DIONICI OD RAČINOVACA DO SISKA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866.000</w:t>
            </w:r>
          </w:p>
        </w:tc>
        <w:tc>
          <w:tcPr>
            <w:tcW w:w="1632.96" w:type="dxa"/>
            <w:vAlign w:val="center"/>
          </w:tcPr>
          <w:p>
            <w:pPr>
              <w:jc w:val="both"/>
              <w:pStyle w:val="CellColumn"/>
            </w:pPr>
            <w:r>
              <w:rPr>
                <w:rFonts w:hAnsi="Times New Roman" w:cs="Times New Roman"/>
              </w:rPr>
              <w:t xml:space="preserve">3.579.000</w:t>
            </w:r>
          </w:p>
        </w:tc>
        <w:tc>
          <w:tcPr>
            <w:tcW w:w="1632.96" w:type="dxa"/>
            <w:vAlign w:val="center"/>
          </w:tcPr>
          <w:p>
            <w:pPr>
              <w:jc w:val="both"/>
              <w:pStyle w:val="CellColumn"/>
            </w:pPr>
            <w:r>
              <w:rPr>
                <w:rFonts w:hAnsi="Times New Roman" w:cs="Times New Roman"/>
              </w:rPr>
              <w:t xml:space="preserve">4.565.000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Projekt „Uređenje plovnog puta rijeke Save na dionici od Račinovca do Siska“, službene oznake 101232971 - 24-HR-TC-SAWA, odobren je u srpnju 2025. za EU sufinanciranje unutar CEF 2021. – 2027. poziva u području prometa. Ministarstvo mora, prometa i infrastrukture je jedini korisnik predmetnog projekta. Planirani završetak projekta je listopad 2028. 
</w:t>
      </w:r>
    </w:p>
    <w:p>
      <w:pPr>
        <w:jc w:val="both"/>
        <w:pStyle w:val="Normal"/>
      </w:pPr>
      <w:r>
        <w:rPr>
          <w:rFonts w:hAnsi="Times New Roman" w:cs="Times New Roman"/>
        </w:rPr>
        <w:t xml:space="preserve">Rijeka Sava je na dionici od Račinovaca do Siska (riječni kilometar 210,8 - 594) klasificirana kao međunarodni plovni put, no u praksi plovidba dionicom nije moguća veći dio godine. Razlog tome je što rijeka Sava ne zadovoljava standarde IV. klase plovnosti prema europskim smjernicama AGN ugovora. Plovidbu otežavaju brojna uska grla i kritične dionice koje su uzrokovane niskim vodostajem, nanosima te nedovoljnim uređenjem korita.
</w:t>
      </w:r>
    </w:p>
    <w:p>
      <w:pPr>
        <w:jc w:val="both"/>
        <w:pStyle w:val="Normal"/>
      </w:pPr>
      <w:r>
        <w:rPr>
          <w:rFonts w:hAnsi="Times New Roman" w:cs="Times New Roman"/>
        </w:rPr>
        <w:t xml:space="preserve">Zbog navedenih razloga, potrebno je provesti uređenje navedene dionice, pri čemu je izrada studijsko-projektne dokumentacije prvi korak, sa sljedećim ciljevima:
</w:t>
      </w:r>
    </w:p>
    <w:p>
      <w:pPr>
        <w:jc w:val="both"/>
        <w:pStyle w:val="Normal"/>
      </w:pPr>
      <w:r>
        <w:rPr>
          <w:rFonts w:hAnsi="Times New Roman" w:cs="Times New Roman"/>
        </w:rPr>
        <w:t xml:space="preserve">- Poboljšati plovidbu rijekom Savom kako bi se ispunili minimalni zahtjevi propisani Europskim ugovorom o glavnim unutarnjim plovnim putovima od međunarodnog značenja (AGN),
</w:t>
      </w:r>
    </w:p>
    <w:p>
      <w:pPr>
        <w:jc w:val="both"/>
        <w:pStyle w:val="Normal"/>
      </w:pPr>
      <w:r>
        <w:rPr>
          <w:rFonts w:hAnsi="Times New Roman" w:cs="Times New Roman"/>
        </w:rPr>
        <w:t xml:space="preserve">- Omogućiti plovnom putu rijeke Save da ostvari svoj puni razvojni potencijal, doprinoseći ukupnom razvoju sektora unutarnje plovidbe u Republici Hrvatskoj i Europskoj uniji,
</w:t>
      </w:r>
    </w:p>
    <w:p>
      <w:pPr>
        <w:jc w:val="both"/>
        <w:pStyle w:val="Normal"/>
      </w:pPr>
      <w:r>
        <w:rPr>
          <w:rFonts w:hAnsi="Times New Roman" w:cs="Times New Roman"/>
        </w:rPr>
        <w:t xml:space="preserve">- Osigurati kontinuitet TEN-T mreže između države članice EU i zemlje kandidatkinje za EU.
</w:t>
      </w:r>
    </w:p>
    <w:p>
      <w:pPr>
        <w:jc w:val="both"/>
        <w:pStyle w:val="Normal"/>
      </w:pPr>
      <w:r>
        <w:rPr>
          <w:rFonts w:hAnsi="Times New Roman" w:cs="Times New Roman"/>
        </w:rPr>
        <w:t xml:space="preserve">Dionica Jaruge – Novi Grad, koja je bila predmetom projekta „Izrada Studije utjecaja na okoliš i projektne dokumentacije za dionicu rijeke Save od rkm 329 do rkm 315 i od rkm 312 do rkm 300“ završenog u prosincu 2023., nije u obuhvatu projekta SAWA.
</w:t>
      </w:r>
    </w:p>
    <w:p>
      <w:pPr>
        <w:jc w:val="both"/>
        <w:pStyle w:val="Normal"/>
      </w:pPr>
      <w:r>
        <w:rPr>
          <w:rFonts w:hAnsi="Times New Roman" w:cs="Times New Roman"/>
        </w:rPr>
        <w:t xml:space="preserve">Financijska sredstva iz Proračuna RH za vrijeme provedbe projekta (2025. - 2028.) se planiraju za rashode za zaposlene, intelektualne i osobne usluge, ostale materijalne rashode te na ostalu nematerijalnu imovinu.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Stupanj izrađenosti studijsko-projektne dokumentacije</w:t>
            </w:r>
          </w:p>
        </w:tc>
        <w:tc>
          <w:tcPr>
            <w:tcW w:w="2245.32" w:type="dxa"/>
            <w:vAlign w:val="center"/>
          </w:tcPr>
          <w:p>
            <w:pPr>
              <w:jc w:val="both"/>
              <w:pStyle w:val="CellColumn"/>
            </w:pPr>
            <w:r>
              <w:rPr>
                <w:rFonts w:hAnsi="Times New Roman" w:cs="Times New Roman"/>
              </w:rPr>
              <w:t xml:space="preserve">Za vrijeme provedbe projekta izradit će se koncepcijsko, idejno i glavno rješenje, ažurirati postojeća studija izvodljivosti te izraditi studija utjecaja na okoliš. Svi navedeni dokumenti će predstavljati osnove za radove uređenja plovnog puta rijeke Save na dionici od Račinovaca do Siska.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40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3"/>
      </w:pPr>
      <w:r>
        <w:rPr>
          <w:rFonts w:hAnsi="Times New Roman" w:cs="Times New Roman"/>
        </w:rPr>
        <w:t xml:space="preserve">3116 RAZVOJ SUSTAVA POMORSKOG PROMETA, POMORSKOG DOBRA I LUKA, TE ZAŠTITA OKOLIŠA OD ONEČIŠĆENJA S POMORSKIH OBJEKATA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3116-RAZVOJ SUSTAVA POMORSKOG PROMETA, POMORSKOG DOBRA I LUKA, TE ZAŠTITA OKOLIŠA OD ONEČIŠĆENJA S POMORSKIH OBJEKATA</w:t>
            </w:r>
          </w:p>
        </w:tc>
        <w:tc>
          <w:tcPr>
            <w:tcW w:w="1632.96" w:type="dxa"/>
            <w:vAlign w:val="center"/>
          </w:tcPr>
          <w:p>
            <w:pPr>
              <w:jc w:val="both"/>
              <w:pStyle w:val="CellColumn"/>
            </w:pPr>
            <w:r>
              <w:rPr>
                <w:rFonts w:hAnsi="Times New Roman" w:cs="Times New Roman"/>
              </w:rPr>
              <w:t xml:space="preserve">16.960.846</w:t>
            </w:r>
          </w:p>
        </w:tc>
        <w:tc>
          <w:tcPr>
            <w:tcW w:w="1632.96" w:type="dxa"/>
            <w:vAlign w:val="center"/>
          </w:tcPr>
          <w:p>
            <w:pPr>
              <w:jc w:val="both"/>
              <w:pStyle w:val="CellColumn"/>
            </w:pPr>
            <w:r>
              <w:rPr>
                <w:rFonts w:hAnsi="Times New Roman" w:cs="Times New Roman"/>
              </w:rPr>
              <w:t xml:space="preserve">17.403.931</w:t>
            </w:r>
          </w:p>
        </w:tc>
        <w:tc>
          <w:tcPr>
            <w:tcW w:w="1632.96" w:type="dxa"/>
            <w:vAlign w:val="center"/>
          </w:tcPr>
          <w:p>
            <w:pPr>
              <w:jc w:val="both"/>
              <w:pStyle w:val="CellColumn"/>
            </w:pPr>
            <w:r>
              <w:rPr>
                <w:rFonts w:hAnsi="Times New Roman" w:cs="Times New Roman"/>
              </w:rPr>
              <w:t xml:space="preserve">16.579.155</w:t>
            </w:r>
          </w:p>
        </w:tc>
        <w:tc>
          <w:tcPr>
            <w:tcW w:w="1632.96" w:type="dxa"/>
            <w:vAlign w:val="center"/>
          </w:tcPr>
          <w:p>
            <w:pPr>
              <w:jc w:val="both"/>
              <w:pStyle w:val="CellColumn"/>
            </w:pPr>
            <w:r>
              <w:rPr>
                <w:rFonts w:hAnsi="Times New Roman" w:cs="Times New Roman"/>
              </w:rPr>
              <w:t xml:space="preserve">17.828.342</w:t>
            </w:r>
          </w:p>
        </w:tc>
        <w:tc>
          <w:tcPr>
            <w:tcW w:w="1632.96" w:type="dxa"/>
            <w:vAlign w:val="center"/>
          </w:tcPr>
          <w:p>
            <w:pPr>
              <w:jc w:val="both"/>
              <w:pStyle w:val="CellColumn"/>
            </w:pPr>
            <w:r>
              <w:rPr>
                <w:rFonts w:hAnsi="Times New Roman" w:cs="Times New Roman"/>
              </w:rPr>
              <w:t xml:space="preserve">15.154.091</w:t>
            </w:r>
          </w:p>
        </w:tc>
        <w:tc>
          <w:tcPr>
            <w:tcW w:w="510.3" w:type="dxa"/>
            <w:vAlign w:val="center"/>
          </w:tcPr>
          <w:p>
            <w:pPr>
              <w:jc w:val="both"/>
              <w:pStyle w:val="CellColumn"/>
            </w:pPr>
            <w:r>
              <w:rPr>
                <w:rFonts w:hAnsi="Times New Roman" w:cs="Times New Roman"/>
              </w:rPr>
              <w:t xml:space="preserve">95,3</w:t>
            </w:r>
          </w:p>
        </w:tc>
      </w:tr>
    </w:tbl>
    <w:p>
      <w:pPr>
        <w:jc w:val="left"/>
      </w:pPr>
      <w:r>
        <w:rPr>
          <w:rFonts w:hAnsi="Times New Roman" w:cs="Times New Roman"/>
        </w:rPr>
        <w:t xml:space="preserve"/>
      </w:r>
    </w:p>
    <w:p>
      <w:pPr>
        <w:jc w:val="left"/>
        <w:pStyle w:val="Heading7"/>
      </w:pPr>
      <w:r>
        <w:rPr>
          <w:rFonts w:hAnsi="Times New Roman" w:cs="Times New Roman"/>
        </w:rPr>
        <w:t xml:space="preserve">Cilj 1. Unaprijediti sustav pomorskog prometa te učinkovito i sustavno upravljati pomorskim dobrom</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Povećan promet tereta u morskim lukama Republike Hrvatske</w:t>
            </w:r>
          </w:p>
        </w:tc>
        <w:tc>
          <w:tcPr>
            <w:tcW w:w="2245.32" w:type="dxa"/>
            <w:vAlign w:val="center"/>
          </w:tcPr>
          <w:p>
            <w:pPr>
              <w:jc w:val="both"/>
              <w:pStyle w:val="CellColumn"/>
            </w:pPr>
            <w:r>
              <w:rPr>
                <w:rFonts w:hAnsi="Times New Roman" w:cs="Times New Roman"/>
              </w:rPr>
              <w:t xml:space="preserve">Radovima izgradnje lučke infrastrukture, osiguranja lučkog područja, gospodarske zone i plovnih putova povećat će se količina pomorskog prometa i privlačenje korisnika što će rezultirati povećanjem prekrcanog tereta u lukama  
</w:t>
            </w:r>
          </w:p>
          <w:p>
            <w:pPr>
              <w:jc w:val="both"/>
              <w:pStyle w:val="CellColumn"/>
            </w:pPr>
            <w:r>
              <w:rPr>
                <w:rFonts w:hAnsi="Times New Roman" w:cs="Times New Roman"/>
              </w:rPr>
              <w:t xml:space="preserve">(godišnja vrijednost)</w:t>
            </w:r>
          </w:p>
        </w:tc>
        <w:tc>
          <w:tcPr>
            <w:tcW w:w="918.54" w:type="dxa"/>
            <w:vAlign w:val="center"/>
          </w:tcPr>
          <w:p>
            <w:pPr>
              <w:jc w:val="both"/>
              <w:pStyle w:val="CellColumn"/>
            </w:pPr>
            <w:r>
              <w:rPr>
                <w:rFonts w:hAnsi="Times New Roman" w:cs="Times New Roman"/>
              </w:rPr>
              <w:t xml:space="preserve">tona</w:t>
            </w:r>
          </w:p>
        </w:tc>
        <w:tc>
          <w:tcPr>
            <w:tcW w:w="918.54" w:type="dxa"/>
            <w:vAlign w:val="center"/>
          </w:tcPr>
          <w:p>
            <w:pPr>
              <w:jc w:val="both"/>
              <w:pStyle w:val="CellColumn"/>
            </w:pPr>
            <w:r>
              <w:rPr>
                <w:rFonts w:hAnsi="Times New Roman" w:cs="Times New Roman"/>
              </w:rPr>
              <w:t xml:space="preserve">14.200.000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15.000.000</w:t>
            </w:r>
          </w:p>
        </w:tc>
        <w:tc>
          <w:tcPr>
            <w:tcW w:w="918.54" w:type="dxa"/>
            <w:vAlign w:val="center"/>
          </w:tcPr>
          <w:p>
            <w:pPr>
              <w:jc w:val="both"/>
              <w:pStyle w:val="CellColumn"/>
            </w:pPr>
            <w:r>
              <w:rPr>
                <w:rFonts w:hAnsi="Times New Roman" w:cs="Times New Roman"/>
              </w:rPr>
              <w:t xml:space="preserve">15.500.000</w:t>
            </w:r>
          </w:p>
        </w:tc>
        <w:tc>
          <w:tcPr>
            <w:tcW w:w="918.54" w:type="dxa"/>
            <w:vAlign w:val="center"/>
          </w:tcPr>
          <w:p>
            <w:pPr>
              <w:jc w:val="both"/>
              <w:pStyle w:val="CellColumn"/>
            </w:pPr>
            <w:r>
              <w:rPr>
                <w:rFonts w:hAnsi="Times New Roman" w:cs="Times New Roman"/>
              </w:rPr>
              <w:t xml:space="preserve">16.000.000</w:t>
            </w:r>
          </w:p>
        </w:tc>
      </w:tr>
    </w:tbl>
    <w:p>
      <w:pPr>
        <w:jc w:val="left"/>
      </w:pPr>
      <w:r>
        <w:rPr>
          <w:rFonts w:hAnsi="Times New Roman" w:cs="Times New Roman"/>
        </w:rPr>
        <w:t xml:space="preserve"/>
      </w:r>
    </w:p>
    <w:p>
      <w:pPr>
        <w:jc w:val="left"/>
        <w:pStyle w:val="Heading4"/>
      </w:pPr>
      <w:r>
        <w:rPr>
          <w:rFonts w:hAnsi="Times New Roman" w:cs="Times New Roman"/>
        </w:rPr>
        <w:t xml:space="preserve">A570219 IZGRADNJA, SANACIJA I REKONSTRUKCIJA OBJEKATA PODGRADNJE U LUKAMA OTVORENIM ZA JAVNI PROMET OD ŽUPANIJSKOG I LOKALNOG ZNAČAJA TE MODERNIZACIJA, OBNOVA I IZGRADNJA RIBARSKE INFRASTRUKTURE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pomorskom dobru i morskim lukama, članak 40.</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A570219-IZGRADNJA, SANACIJA I REKONSTRUKCIJA OBJEKATA PODGRADNJE U LUKAMA OTVORENIM ZA JAVNI PROMET OD ŽUPANIJSKOG I LOKALNOG ZNAČAJA TE MODERNIZACIJA, OBNOVA I IZGRADNJA RIBARSKE INFRASTRUKTURE</w:t>
            </w:r>
          </w:p>
        </w:tc>
        <w:tc>
          <w:tcPr>
            <w:tcW w:w="1632.96" w:type="dxa"/>
            <w:vAlign w:val="center"/>
          </w:tcPr>
          <w:p>
            <w:pPr>
              <w:jc w:val="both"/>
              <w:pStyle w:val="CellColumn"/>
            </w:pPr>
            <w:r>
              <w:rPr>
                <w:rFonts w:hAnsi="Times New Roman" w:cs="Times New Roman"/>
              </w:rPr>
              <w:t xml:space="preserve">14.614.008</w:t>
            </w:r>
          </w:p>
        </w:tc>
        <w:tc>
          <w:tcPr>
            <w:tcW w:w="1632.96" w:type="dxa"/>
            <w:vAlign w:val="center"/>
          </w:tcPr>
          <w:p>
            <w:pPr>
              <w:jc w:val="both"/>
              <w:pStyle w:val="CellColumn"/>
            </w:pPr>
            <w:r>
              <w:rPr>
                <w:rFonts w:hAnsi="Times New Roman" w:cs="Times New Roman"/>
              </w:rPr>
              <w:t xml:space="preserve">15.451.550</w:t>
            </w:r>
          </w:p>
        </w:tc>
        <w:tc>
          <w:tcPr>
            <w:tcW w:w="1632.96" w:type="dxa"/>
            <w:vAlign w:val="center"/>
          </w:tcPr>
          <w:p>
            <w:pPr>
              <w:jc w:val="both"/>
              <w:pStyle w:val="CellColumn"/>
            </w:pPr>
            <w:r>
              <w:rPr>
                <w:rFonts w:hAnsi="Times New Roman" w:cs="Times New Roman"/>
              </w:rPr>
              <w:t xml:space="preserve">13.750.000</w:t>
            </w:r>
          </w:p>
        </w:tc>
        <w:tc>
          <w:tcPr>
            <w:tcW w:w="1632.96" w:type="dxa"/>
            <w:vAlign w:val="center"/>
          </w:tcPr>
          <w:p>
            <w:pPr>
              <w:jc w:val="both"/>
              <w:pStyle w:val="CellColumn"/>
            </w:pPr>
            <w:r>
              <w:rPr>
                <w:rFonts w:hAnsi="Times New Roman" w:cs="Times New Roman"/>
              </w:rPr>
              <w:t xml:space="preserve">15.350.000</w:t>
            </w:r>
          </w:p>
        </w:tc>
        <w:tc>
          <w:tcPr>
            <w:tcW w:w="1632.96" w:type="dxa"/>
            <w:vAlign w:val="center"/>
          </w:tcPr>
          <w:p>
            <w:pPr>
              <w:jc w:val="both"/>
              <w:pStyle w:val="CellColumn"/>
            </w:pPr>
            <w:r>
              <w:rPr>
                <w:rFonts w:hAnsi="Times New Roman" w:cs="Times New Roman"/>
              </w:rPr>
              <w:t xml:space="preserve">12.815.749</w:t>
            </w:r>
          </w:p>
        </w:tc>
        <w:tc>
          <w:tcPr>
            <w:tcW w:w="510.3" w:type="dxa"/>
            <w:vAlign w:val="center"/>
          </w:tcPr>
          <w:p>
            <w:pPr>
              <w:jc w:val="both"/>
              <w:pStyle w:val="CellColumn"/>
            </w:pPr>
            <w:r>
              <w:rPr>
                <w:rFonts w:hAnsi="Times New Roman" w:cs="Times New Roman"/>
              </w:rPr>
              <w:t xml:space="preserve">89,0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provode se dva projekta: Projekt izgradnje, sanacije i rekonstrukcije objekata podgradnje namijenjenih za prihvat trajektnih, putničkih i ribarskih brodova u lukama otvorenim za javni promet od županijskog i lokalnog značaja i Projekt izgradnje, sanacije i rekonstrukcije pomorskog dobra u općoj upotrebi.   
</w:t>
      </w:r>
    </w:p>
    <w:p>
      <w:pPr>
        <w:jc w:val="both"/>
        <w:pStyle w:val="Normal"/>
      </w:pPr>
      <w:r>
        <w:rPr>
          <w:rFonts w:hAnsi="Times New Roman" w:cs="Times New Roman"/>
        </w:rPr>
        <w:t xml:space="preserve">Radi održivog rasta i konkurentnosti pomorskog gospodarstva kao strateškog cilja RH potrebna su, između ostalog, i ulaganja u lučku infrastrukturu. Radi potrebe povezivanja obale i otoka te otoka međusobno, sufinancira se izgradnja i rekonstrukcija infrastrukture u županijskim i lokalnim lukama otvorenim za javni promet, te infrastruktura potrebna za prihvat ribarskih plovila. Navedeni infrastrukturni projekti su od izuzetnog značaja za održivi razvoj otoka te očuvanje demografske slike otoka. Konačni cilj je da ti projekti čine jedinstvenu integriranu cjelinu prometne mreže povezivanja otoka s kopnom i otoka međusobno. Radi pomoći u brizi oko pomorskog dobra, Ministarstvo sufinancira i projekte izgradnje, sanacije i rekonstrukcije pomorskog dobra u općoj upotrebi, a koje se nalazi na području jedinica lokalne samouprave.   
</w:t>
      </w:r>
    </w:p>
    <w:p>
      <w:pPr>
        <w:jc w:val="both"/>
        <w:pStyle w:val="Normal"/>
      </w:pPr>
      <w:r>
        <w:rPr>
          <w:rFonts w:hAnsi="Times New Roman" w:cs="Times New Roman"/>
        </w:rPr>
        <w:t xml:space="preserve">Za Projekt izgradnje, sanacije i rekonstrukcije objekata podgradnje namijenjenih za prihvat trajektnih, putničkih i ribarskih brodova u lukama otvorenim za javni promet od županijskog i lokalnog značaja sredstva su planirana po godinama kako slijedi:   
</w:t>
      </w:r>
    </w:p>
    <w:p>
      <w:pPr>
        <w:jc w:val="both"/>
        <w:pStyle w:val="Normal"/>
      </w:pPr>
      <w:r>
        <w:rPr>
          <w:rFonts w:hAnsi="Times New Roman" w:cs="Times New Roman"/>
        </w:rPr>
        <w:t xml:space="preserve">2026. godina: 10.750.000 eura
</w:t>
      </w:r>
    </w:p>
    <w:p>
      <w:pPr>
        <w:jc w:val="both"/>
        <w:pStyle w:val="Normal"/>
      </w:pPr>
      <w:r>
        <w:rPr>
          <w:rFonts w:hAnsi="Times New Roman" w:cs="Times New Roman"/>
        </w:rPr>
        <w:t xml:space="preserve">2027. godina:  11.350.000 eura
</w:t>
      </w:r>
    </w:p>
    <w:p>
      <w:pPr>
        <w:jc w:val="both"/>
        <w:pStyle w:val="Normal"/>
      </w:pPr>
      <w:r>
        <w:rPr>
          <w:rFonts w:hAnsi="Times New Roman" w:cs="Times New Roman"/>
        </w:rPr>
        <w:t xml:space="preserve">2028. godina: 9.850.000 eura
</w:t>
      </w:r>
    </w:p>
    <w:p>
      <w:pPr>
        <w:jc w:val="both"/>
        <w:pStyle w:val="Normal"/>
      </w:pPr>
      <w:r>
        <w:rPr>
          <w:rFonts w:hAnsi="Times New Roman" w:cs="Times New Roman"/>
        </w:rPr>
        <w:t xml:space="preserve">Za Projekt izgradnje, sanacije i rekonstrukcije pomorskog dobra u općoj upotrebi sredstva su planirana po godinama kako slijedi:   
</w:t>
      </w:r>
    </w:p>
    <w:p>
      <w:pPr>
        <w:jc w:val="both"/>
        <w:pStyle w:val="Normal"/>
      </w:pPr>
      <w:r>
        <w:rPr>
          <w:rFonts w:hAnsi="Times New Roman" w:cs="Times New Roman"/>
        </w:rPr>
        <w:t xml:space="preserve">2026. godina: 3.000.000 eura  
</w:t>
      </w:r>
    </w:p>
    <w:p>
      <w:pPr>
        <w:jc w:val="both"/>
        <w:pStyle w:val="Normal"/>
      </w:pPr>
      <w:r>
        <w:rPr>
          <w:rFonts w:hAnsi="Times New Roman" w:cs="Times New Roman"/>
        </w:rPr>
        <w:t xml:space="preserve">2027. godina:  4.000.000 eura   
</w:t>
      </w:r>
    </w:p>
    <w:p>
      <w:pPr>
        <w:jc w:val="both"/>
        <w:pStyle w:val="Normal"/>
      </w:pPr>
      <w:r>
        <w:rPr>
          <w:rFonts w:hAnsi="Times New Roman" w:cs="Times New Roman"/>
        </w:rPr>
        <w:t xml:space="preserve">2028. godina: 2.965.749 eura  
</w:t>
      </w:r>
    </w:p>
    <w:p>
      <w:pPr>
        <w:jc w:val="both"/>
        <w:pStyle w:val="Normal"/>
      </w:pPr>
      <w:r>
        <w:rPr>
          <w:rFonts w:hAnsi="Times New Roman" w:cs="Times New Roman"/>
        </w:rPr>
        <w:t xml:space="preserve">Svake godine sve je veći broj zahtjeva, te samim time i traženih iznosa sufinanciranja, stoga Ministarstvo pokušava osigurati dovoljno sredstava. Za svaki od navedenih projekta, jednom godišnje, Ministarstvo na svojim službenim web stranicama objavi poziv za dostavu projektnih prijedloga.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odobrenih projekata za izgradnju, sanaciju i rekonstrukciju objekata podgradnje namijenjenih za prihvat trajektnih, putničkih i ribarskih brodova u lukama otvorenim za javni promet od županijskog i lokalnog značaja (godišnja vrijednost)</w:t>
            </w:r>
          </w:p>
        </w:tc>
        <w:tc>
          <w:tcPr>
            <w:tcW w:w="2245.32" w:type="dxa"/>
            <w:vAlign w:val="center"/>
          </w:tcPr>
          <w:p>
            <w:pPr>
              <w:jc w:val="both"/>
              <w:pStyle w:val="CellColumn"/>
            </w:pPr>
            <w:r>
              <w:rPr>
                <w:rFonts w:hAnsi="Times New Roman" w:cs="Times New Roman"/>
              </w:rPr>
              <w:t xml:space="preserve">Povećanje izgrađenosti infrastrukture radi osiguranja povezivanja i komunalnog veza za lokalno stanovništvo</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24</w:t>
            </w:r>
          </w:p>
        </w:tc>
        <w:tc>
          <w:tcPr>
            <w:tcW w:w="918.54" w:type="dxa"/>
            <w:vAlign w:val="center"/>
          </w:tcPr>
          <w:p>
            <w:pPr>
              <w:jc w:val="both"/>
              <w:pStyle w:val="CellColumn"/>
            </w:pPr>
            <w:r>
              <w:rPr>
                <w:rFonts w:hAnsi="Times New Roman" w:cs="Times New Roman"/>
              </w:rPr>
              <w:t xml:space="preserve">26</w:t>
            </w:r>
          </w:p>
        </w:tc>
        <w:tc>
          <w:tcPr>
            <w:tcW w:w="918.54" w:type="dxa"/>
            <w:vAlign w:val="center"/>
          </w:tcPr>
          <w:p>
            <w:pPr>
              <w:jc w:val="both"/>
              <w:pStyle w:val="CellColumn"/>
            </w:pPr>
            <w:r>
              <w:rPr>
                <w:rFonts w:hAnsi="Times New Roman" w:cs="Times New Roman"/>
              </w:rPr>
              <w:t xml:space="preserve">23</w:t>
            </w:r>
          </w:p>
        </w:tc>
      </w:tr>
      <w:tr>
        <w:trPr>
          <w:cantSplit/>
        </w:trPr>
        <w:tc>
          <w:tcPr>
            <w:tcW w:w="2245.32" w:type="dxa"/>
            <w:vAlign w:val="center"/>
          </w:tcPr>
          <w:p>
            <w:pPr>
              <w:jc w:val="both"/>
              <w:pStyle w:val="CellColumn"/>
            </w:pPr>
            <w:r>
              <w:rPr>
                <w:rFonts w:hAnsi="Times New Roman" w:cs="Times New Roman"/>
              </w:rPr>
              <w:t xml:space="preserve">Broj odobrenih projekata za sanaciju i rekonstrukciju pomorskog dobra u općoj upotrebi (godišnja vrijednost)</w:t>
            </w:r>
          </w:p>
        </w:tc>
        <w:tc>
          <w:tcPr>
            <w:tcW w:w="2245.32" w:type="dxa"/>
            <w:vAlign w:val="center"/>
          </w:tcPr>
          <w:p>
            <w:pPr>
              <w:jc w:val="both"/>
              <w:pStyle w:val="CellColumn"/>
            </w:pPr>
            <w:r>
              <w:rPr>
                <w:rFonts w:hAnsi="Times New Roman" w:cs="Times New Roman"/>
              </w:rPr>
              <w:t xml:space="preserve">Povećanje uređenosti infrastrukture radi sigurnog korištenja pomorskog dobra kao jednog od temeljnih resursa RH</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37</w:t>
            </w:r>
          </w:p>
        </w:tc>
        <w:tc>
          <w:tcPr>
            <w:tcW w:w="918.54" w:type="dxa"/>
            <w:vAlign w:val="center"/>
          </w:tcPr>
          <w:p>
            <w:pPr>
              <w:jc w:val="both"/>
              <w:pStyle w:val="CellColumn"/>
            </w:pPr>
            <w:r>
              <w:rPr>
                <w:rFonts w:hAnsi="Times New Roman" w:cs="Times New Roman"/>
              </w:rPr>
              <w:t xml:space="preserve">26</w:t>
            </w:r>
          </w:p>
        </w:tc>
      </w:tr>
    </w:tbl>
    <w:p>
      <w:pPr>
        <w:jc w:val="left"/>
      </w:pPr>
      <w:r>
        <w:rPr>
          <w:rFonts w:hAnsi="Times New Roman" w:cs="Times New Roman"/>
        </w:rPr>
        <w:t xml:space="preserve"/>
      </w:r>
    </w:p>
    <w:p>
      <w:pPr>
        <w:jc w:val="left"/>
        <w:pStyle w:val="Heading4"/>
      </w:pPr>
      <w:r>
        <w:rPr>
          <w:rFonts w:hAnsi="Times New Roman" w:cs="Times New Roman"/>
        </w:rPr>
        <w:t xml:space="preserve">A570348 UTVRĐIVANJE I PROVEDBA GRANICA POMORSKOG DOBRA S IZVLAŠTENJEM</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pomorskom dobru i morskim lukama,  članak 20. stavak 1., članak 27.</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A570348-UTVRĐIVANJE I PROVEDBA GRANICA POMORSKOG DOBRA S IZVLAŠTENJEM</w:t>
            </w:r>
          </w:p>
        </w:tc>
        <w:tc>
          <w:tcPr>
            <w:tcW w:w="1632.96" w:type="dxa"/>
            <w:vAlign w:val="center"/>
          </w:tcPr>
          <w:p>
            <w:pPr>
              <w:jc w:val="both"/>
              <w:pStyle w:val="CellColumn"/>
            </w:pPr>
            <w:r>
              <w:rPr>
                <w:rFonts w:hAnsi="Times New Roman" w:cs="Times New Roman"/>
              </w:rPr>
              <w:t xml:space="preserve">825.884</w:t>
            </w:r>
          </w:p>
        </w:tc>
        <w:tc>
          <w:tcPr>
            <w:tcW w:w="1632.96" w:type="dxa"/>
            <w:vAlign w:val="center"/>
          </w:tcPr>
          <w:p>
            <w:pPr>
              <w:jc w:val="both"/>
              <w:pStyle w:val="CellColumn"/>
            </w:pPr>
            <w:r>
              <w:rPr>
                <w:rFonts w:hAnsi="Times New Roman" w:cs="Times New Roman"/>
              </w:rPr>
              <w:t xml:space="preserve">322.560</w:t>
            </w:r>
          </w:p>
        </w:tc>
        <w:tc>
          <w:tcPr>
            <w:tcW w:w="1632.96" w:type="dxa"/>
            <w:vAlign w:val="center"/>
          </w:tcPr>
          <w:p>
            <w:pPr>
              <w:jc w:val="both"/>
              <w:pStyle w:val="CellColumn"/>
            </w:pPr>
            <w:r>
              <w:rPr>
                <w:rFonts w:hAnsi="Times New Roman" w:cs="Times New Roman"/>
              </w:rPr>
              <w:t xml:space="preserve">622.560</w:t>
            </w:r>
          </w:p>
        </w:tc>
        <w:tc>
          <w:tcPr>
            <w:tcW w:w="1632.96" w:type="dxa"/>
            <w:vAlign w:val="center"/>
          </w:tcPr>
          <w:p>
            <w:pPr>
              <w:jc w:val="both"/>
              <w:pStyle w:val="CellColumn"/>
            </w:pPr>
            <w:r>
              <w:rPr>
                <w:rFonts w:hAnsi="Times New Roman" w:cs="Times New Roman"/>
              </w:rPr>
              <w:t xml:space="preserve">692.560</w:t>
            </w:r>
          </w:p>
        </w:tc>
        <w:tc>
          <w:tcPr>
            <w:tcW w:w="1632.96" w:type="dxa"/>
            <w:vAlign w:val="center"/>
          </w:tcPr>
          <w:p>
            <w:pPr>
              <w:jc w:val="both"/>
              <w:pStyle w:val="CellColumn"/>
            </w:pPr>
            <w:r>
              <w:rPr>
                <w:rFonts w:hAnsi="Times New Roman" w:cs="Times New Roman"/>
              </w:rPr>
              <w:t xml:space="preserve">642.560</w:t>
            </w:r>
          </w:p>
        </w:tc>
        <w:tc>
          <w:tcPr>
            <w:tcW w:w="510.3" w:type="dxa"/>
            <w:vAlign w:val="center"/>
          </w:tcPr>
          <w:p>
            <w:pPr>
              <w:jc w:val="both"/>
              <w:pStyle w:val="CellColumn"/>
            </w:pPr>
            <w:r>
              <w:rPr>
                <w:rFonts w:hAnsi="Times New Roman" w:cs="Times New Roman"/>
              </w:rPr>
              <w:t xml:space="preserve">193,0</w:t>
            </w:r>
          </w:p>
        </w:tc>
      </w:tr>
    </w:tbl>
    <w:p>
      <w:pPr>
        <w:jc w:val="left"/>
      </w:pPr>
      <w:r>
        <w:rPr>
          <w:rFonts w:hAnsi="Times New Roman" w:cs="Times New Roman"/>
        </w:rPr>
        <w:t xml:space="preserve"/>
      </w:r>
    </w:p>
    <w:p>
      <w:pPr>
        <w:jc w:val="both"/>
        <w:pStyle w:val="Normal"/>
      </w:pPr>
      <w:r>
        <w:rPr>
          <w:rFonts w:hAnsi="Times New Roman" w:cs="Times New Roman"/>
        </w:rPr>
        <w:t xml:space="preserve">Pomorsko dobro je opće dobro od interesa za RH i njegove je potencijale moguće iskoristiti nakon što se utvrde granice pomorskog dobra te se utvrđeno pomorsko dobro evidentira i provede u katastar i zemljišne knjige. U cilju izrade prijedloga za utvrđivanje granica pomorskog dobra, te izrade geodetskih podloga i elaborata sredstva sa aktivnosti koriste se za sufinanciranje projekata čiji je krajnji cilj utvrđivanje i provedba granicama utvrđenog pomorskog dobra. Korisnici navedenih sredstava su sedam županija u čijoj nadležnosti se nalazi pomorsko dobro. Ministarstvo svake godine na iste pošalje Javni poziv za dodjelu projektnih prijedloga za navedeni projekt.    
</w:t>
      </w:r>
    </w:p>
    <w:p>
      <w:pPr>
        <w:jc w:val="both"/>
        <w:pStyle w:val="Normal"/>
      </w:pPr>
      <w:r>
        <w:rPr>
          <w:rFonts w:hAnsi="Times New Roman" w:cs="Times New Roman"/>
        </w:rPr>
        <w:t xml:space="preserve">Osigurana sredstva za Projekt čiji je cilj utvrđivanje i provedba granicama utvrđenog pomorskog dobra planirana su po godinama kako slijedi:   
</w:t>
      </w:r>
    </w:p>
    <w:p>
      <w:pPr>
        <w:jc w:val="both"/>
        <w:pStyle w:val="Normal"/>
      </w:pPr>
      <w:r>
        <w:rPr>
          <w:rFonts w:hAnsi="Times New Roman" w:cs="Times New Roman"/>
        </w:rPr>
        <w:t xml:space="preserve">2026. godina: 80.000 eura   
</w:t>
      </w:r>
    </w:p>
    <w:p>
      <w:pPr>
        <w:jc w:val="both"/>
        <w:pStyle w:val="Normal"/>
      </w:pPr>
      <w:r>
        <w:rPr>
          <w:rFonts w:hAnsi="Times New Roman" w:cs="Times New Roman"/>
        </w:rPr>
        <w:t xml:space="preserve">2027. godina: 100.000 eura   
</w:t>
      </w:r>
    </w:p>
    <w:p>
      <w:pPr>
        <w:jc w:val="both"/>
        <w:pStyle w:val="Normal"/>
      </w:pPr>
      <w:r>
        <w:rPr>
          <w:rFonts w:hAnsi="Times New Roman" w:cs="Times New Roman"/>
        </w:rPr>
        <w:t xml:space="preserve">2028. godina: 100.000 eura   
</w:t>
      </w:r>
    </w:p>
    <w:p>
      <w:pPr>
        <w:jc w:val="both"/>
        <w:pStyle w:val="Normal"/>
      </w:pPr>
      <w:r>
        <w:rPr>
          <w:rFonts w:hAnsi="Times New Roman" w:cs="Times New Roman"/>
        </w:rPr>
        <w:t xml:space="preserve">U odnosu na utvrđene granice pomorskog dobra, trenutno u Ministarstvu i JLRS postoji velika količina podataka koje treba sistematizirati i oblikovati u jedinstvenu bazu podataka pomorskog dobra (GIS), a za potrebe raspolaganja istima.   
</w:t>
      </w:r>
    </w:p>
    <w:p>
      <w:pPr>
        <w:jc w:val="both"/>
        <w:pStyle w:val="Normal"/>
      </w:pPr>
      <w:r>
        <w:rPr>
          <w:rFonts w:hAnsi="Times New Roman" w:cs="Times New Roman"/>
        </w:rPr>
        <w:t xml:space="preserve">U 2018. godini nabavljen je Informacijski sustav upravljanja pomorskim dobrom i morskim lukama (GIS), koji bi u konačnici trebao omogućiti cjelovito praćenje upravljanja pomorskim dobrom, te njegova prilagodba, održavanje i unos podataka kontinuirano se provodi. Za održavanje i nadogradnju postojećeg sustava na ovoj aktivnosti osiguravaju se sredstva po godinama kako slijedi:   
</w:t>
      </w:r>
    </w:p>
    <w:p>
      <w:pPr>
        <w:jc w:val="both"/>
        <w:pStyle w:val="Normal"/>
      </w:pPr>
      <w:r>
        <w:rPr>
          <w:rFonts w:hAnsi="Times New Roman" w:cs="Times New Roman"/>
        </w:rPr>
        <w:t xml:space="preserve">2026. godina: 403.000 eura   
</w:t>
      </w:r>
    </w:p>
    <w:p>
      <w:pPr>
        <w:jc w:val="both"/>
        <w:pStyle w:val="Normal"/>
      </w:pPr>
      <w:r>
        <w:rPr>
          <w:rFonts w:hAnsi="Times New Roman" w:cs="Times New Roman"/>
        </w:rPr>
        <w:t xml:space="preserve">2027. godina: 403.000 eura   
</w:t>
      </w:r>
    </w:p>
    <w:p>
      <w:pPr>
        <w:jc w:val="both"/>
        <w:pStyle w:val="Normal"/>
      </w:pPr>
      <w:r>
        <w:rPr>
          <w:rFonts w:hAnsi="Times New Roman" w:cs="Times New Roman"/>
        </w:rPr>
        <w:t xml:space="preserve">2025. godina: 403.000 eura   
</w:t>
      </w:r>
    </w:p>
    <w:p>
      <w:pPr>
        <w:jc w:val="both"/>
        <w:pStyle w:val="Normal"/>
      </w:pPr>
      <w:r>
        <w:rPr>
          <w:rFonts w:hAnsi="Times New Roman" w:cs="Times New Roman"/>
        </w:rPr>
        <w:t xml:space="preserve">Ostatak osiguranih sredstva odnosi se na troškove sudskih postupaka, sudskih vještačenja, te izvlaštenja.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Povećanje broja sufinanciranih podloga i elaborata čiji je krajnji cilj utvrđivanje i provedba granicama utvrđenog pomorskog dobra</w:t>
            </w:r>
          </w:p>
        </w:tc>
        <w:tc>
          <w:tcPr>
            <w:tcW w:w="2245.32" w:type="dxa"/>
            <w:vAlign w:val="center"/>
          </w:tcPr>
          <w:p>
            <w:pPr>
              <w:jc w:val="both"/>
              <w:pStyle w:val="CellColumn"/>
            </w:pPr>
            <w:r>
              <w:rPr>
                <w:rFonts w:hAnsi="Times New Roman" w:cs="Times New Roman"/>
              </w:rPr>
              <w:t xml:space="preserve">Povećanjem broja izrađenih geodetskih elaborata i podloga u svrhu utvrđivanja granica pomorskog dobra i lučkih područja luka posebne namjene osigurava se utvrđivanje granica pomorskog dobra i upis pomorskog dobra kao takvog u zemljišnim knjigama, a što je preduvjet za koncesioniranje pomorskog dobra i ostvarivanje prihoda državnog proračuna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30</w:t>
            </w:r>
          </w:p>
        </w:tc>
      </w:tr>
    </w:tbl>
    <w:p>
      <w:pPr>
        <w:jc w:val="left"/>
      </w:pPr>
      <w:r>
        <w:rPr>
          <w:rFonts w:hAnsi="Times New Roman" w:cs="Times New Roman"/>
        </w:rPr>
        <w:t xml:space="preserve"/>
      </w:r>
    </w:p>
    <w:p>
      <w:pPr>
        <w:jc w:val="left"/>
        <w:pStyle w:val="Heading4"/>
      </w:pPr>
      <w:r>
        <w:rPr>
          <w:rFonts w:hAnsi="Times New Roman" w:cs="Times New Roman"/>
        </w:rPr>
        <w:t xml:space="preserve">A570350 DODJELA KONCESIJA NA POMORSKOM DOBRU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pomorskom dobru i morskim lukama, članak 52, stavak 2.   
</w:t>
      </w:r>
    </w:p>
    <w:p>
      <w:pPr>
        <w:jc w:val="both"/>
        <w:pStyle w:val="Normal5"/>
      </w:pPr>
      <w:r>
        <w:rPr>
          <w:rFonts w:hAnsi="Times New Roman" w:cs="Times New Roman"/>
        </w:rPr>
        <w:t xml:space="preserve">- Zakon o izvlaštenju i određivanju naknade, članak 57., stavak 1.   
</w:t>
      </w:r>
    </w:p>
    <w:p>
      <w:pPr>
        <w:jc w:val="both"/>
        <w:pStyle w:val="Normal5"/>
      </w:pPr>
      <w:r>
        <w:rPr>
          <w:rFonts w:hAnsi="Times New Roman" w:cs="Times New Roman"/>
        </w:rPr>
        <w:t xml:space="preserve">- Zakon o koncesijama, članak 18., stavak 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A570350-DODJELA KONCESIJA NA POMORSKOM DOBRU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35.000</w:t>
            </w:r>
          </w:p>
        </w:tc>
        <w:tc>
          <w:tcPr>
            <w:tcW w:w="1632.96" w:type="dxa"/>
            <w:vAlign w:val="center"/>
          </w:tcPr>
          <w:p>
            <w:pPr>
              <w:jc w:val="both"/>
              <w:pStyle w:val="CellColumn"/>
            </w:pPr>
            <w:r>
              <w:rPr>
                <w:rFonts w:hAnsi="Times New Roman" w:cs="Times New Roman"/>
              </w:rPr>
              <w:t xml:space="preserve">120.000</w:t>
            </w:r>
          </w:p>
        </w:tc>
        <w:tc>
          <w:tcPr>
            <w:tcW w:w="1632.96" w:type="dxa"/>
            <w:vAlign w:val="center"/>
          </w:tcPr>
          <w:p>
            <w:pPr>
              <w:jc w:val="both"/>
              <w:pStyle w:val="CellColumn"/>
            </w:pPr>
            <w:r>
              <w:rPr>
                <w:rFonts w:hAnsi="Times New Roman" w:cs="Times New Roman"/>
              </w:rPr>
              <w:t xml:space="preserve">118.000</w:t>
            </w:r>
          </w:p>
        </w:tc>
        <w:tc>
          <w:tcPr>
            <w:tcW w:w="1632.96" w:type="dxa"/>
            <w:vAlign w:val="center"/>
          </w:tcPr>
          <w:p>
            <w:pPr>
              <w:jc w:val="both"/>
              <w:pStyle w:val="CellColumn"/>
            </w:pPr>
            <w:r>
              <w:rPr>
                <w:rFonts w:hAnsi="Times New Roman" w:cs="Times New Roman"/>
              </w:rPr>
              <w:t xml:space="preserve">78.000</w:t>
            </w:r>
          </w:p>
        </w:tc>
        <w:tc>
          <w:tcPr>
            <w:tcW w:w="510.3" w:type="dxa"/>
            <w:vAlign w:val="center"/>
          </w:tcPr>
          <w:p>
            <w:pPr>
              <w:jc w:val="both"/>
              <w:pStyle w:val="CellColumn"/>
            </w:pPr>
            <w:r>
              <w:rPr>
                <w:rFonts w:hAnsi="Times New Roman" w:cs="Times New Roman"/>
              </w:rPr>
              <w:t xml:space="preserve">342,9</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provodi postupke dodjele koncesija za koje je davatelj koncesije Vlada Republike Hrvatske. Odredbom članka 7. stavka 2. Zakona o koncesijama propisano je kako u slučajevima u kojim je u ime Republike Hrvatske davatelj koncesije Vlada Republike Hrvatske, osim donošenja odluke o davanju koncesije, pripremne radnje za davanje koncesije, kao i postupak davanja koncesije, može provoditi nadležno ministarstvo. Člankom 14. Zakona o koncesijama propisano je da se pripremnim radnjama za davanje koncesije smatraju, između ostaloga, izrada studije opravdanosti davanja koncesije ili analize davanja koncesije te izrada dokumentacije za nadmetanje. Obveza izrade studije opravdanosti davanja koncesije izrađuje se na teret davatelja koncesije. Ministarstvo također, sukladno članku 78. stavku 2. Zakona o koncesijama, izrađuje Godišnji plan davanja koncesija iz svoje nadležnosti koji se izrađuje temeljem već započetih postupaka u prijašnjim godinama i zaprimljenim pismima inicijative.   
</w:t>
      </w:r>
    </w:p>
    <w:p>
      <w:pPr>
        <w:jc w:val="both"/>
        <w:pStyle w:val="Normal"/>
      </w:pPr>
      <w:r>
        <w:rPr>
          <w:rFonts w:hAnsi="Times New Roman" w:cs="Times New Roman"/>
        </w:rPr>
        <w:t xml:space="preserve">Postojeći model davanja koncesija nije u dovoljnoj mjeri usklađen s današnjim zahtjevima za korištenje pomorskog dobra te postoji potreba za izradom nove metodologije kojom bi se unaprijedio postupak dodjele koncesija na pomorskom dobru. Novom metodologijom potrebno je na jasan i cjelovit način definirati početne iznose koncesijske naknade kod raspisa javnog prikupljanja ponuda i utvrditi kriterije za davanje koncesije za sve vrste koncesija na pomorskom dobru, uvažavajući određene ciljeve i načela. Temeljem navedenog, Ministarstvo mora, prometa i infrastrukture planira izraditi „Studiju zoniranja pomorskog dobra“. Studija se planira napraviti kroz naredne dvije godine, a osigurana sredstva za navedenu namjenu osigurana su u ukupnom iznosu od 230.000 (tijekom 2026., 2027. i 2028. godine).   
</w:t>
      </w:r>
    </w:p>
    <w:p>
      <w:pPr>
        <w:jc w:val="both"/>
        <w:pStyle w:val="Normal"/>
      </w:pPr>
      <w:r>
        <w:rPr>
          <w:rFonts w:hAnsi="Times New Roman" w:cs="Times New Roman"/>
        </w:rPr>
        <w:t xml:space="preserve">Osiguravaju se i sredstva za savjetodavne usluge koje služe za pripremu navedenih dokumenata. Sredstva su osigurana po godinama kako slijedi:   
</w:t>
      </w:r>
    </w:p>
    <w:p>
      <w:pPr>
        <w:jc w:val="both"/>
        <w:pStyle w:val="Normal"/>
      </w:pPr>
      <w:r>
        <w:rPr>
          <w:rFonts w:hAnsi="Times New Roman" w:cs="Times New Roman"/>
        </w:rPr>
        <w:t xml:space="preserve">2026. godina: 30.000 eura  
</w:t>
      </w:r>
    </w:p>
    <w:p>
      <w:pPr>
        <w:jc w:val="both"/>
        <w:pStyle w:val="Normal"/>
      </w:pPr>
      <w:r>
        <w:rPr>
          <w:rFonts w:hAnsi="Times New Roman" w:cs="Times New Roman"/>
        </w:rPr>
        <w:t xml:space="preserve">2027. godina: 28.000 eura
</w:t>
      </w:r>
    </w:p>
    <w:p>
      <w:pPr>
        <w:jc w:val="both"/>
        <w:pStyle w:val="Normal"/>
      </w:pPr>
      <w:r>
        <w:rPr>
          <w:rFonts w:hAnsi="Times New Roman" w:cs="Times New Roman"/>
        </w:rPr>
        <w:t xml:space="preserve">2028. godina: 28.000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Izrada „Studije zoniranja pomorskog dobra</w:t>
            </w:r>
          </w:p>
        </w:tc>
        <w:tc>
          <w:tcPr>
            <w:tcW w:w="2245.32" w:type="dxa"/>
            <w:vAlign w:val="center"/>
          </w:tcPr>
          <w:p>
            <w:pPr>
              <w:jc w:val="both"/>
              <w:pStyle w:val="CellColumn"/>
            </w:pPr>
            <w:r>
              <w:rPr>
                <w:rFonts w:hAnsi="Times New Roman" w:cs="Times New Roman"/>
              </w:rPr>
              <w:t xml:space="preserve">Postizanje više naknade za koncesiju na područjima koja su gospodarski atraktivnija i infrastrukturno opremljenija, te poticanje ulaganja u gospodarski manje atraktivna područja, kao i infrastrukturno slabije opremljena kroz nižu naknadu za koncesiju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0,5</w:t>
            </w:r>
          </w:p>
        </w:tc>
        <w:tc>
          <w:tcPr>
            <w:tcW w:w="918.54" w:type="dxa"/>
            <w:vAlign w:val="center"/>
          </w:tcPr>
          <w:p>
            <w:pPr>
              <w:jc w:val="both"/>
              <w:pStyle w:val="CellColumn"/>
            </w:pPr>
            <w:r>
              <w:rPr>
                <w:rFonts w:hAnsi="Times New Roman" w:cs="Times New Roman"/>
              </w:rPr>
              <w:t xml:space="preserve">0,75</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A570482 STIPENDIRANJE REDOVITIH UČENIKA I STUDENATA SREDNJIH POMORSKIH ŠKOLA I POMORSKIH FAKULTETA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sustavu državne uprave, članak 17.   
</w:t>
      </w:r>
    </w:p>
    <w:p>
      <w:pPr>
        <w:jc w:val="both"/>
        <w:pStyle w:val="Normal5"/>
      </w:pPr>
      <w:r>
        <w:rPr>
          <w:rFonts w:hAnsi="Times New Roman" w:cs="Times New Roman"/>
        </w:rPr>
        <w:t xml:space="preserve">- ODLUKA ministra mora, prometa i infrastrukture - o uvjetima za dodjelu stipendija redovitim studentima preddiplomskog sveučilišnog studija nautičkog i brodostrojarskog smjera, kao i učenicima koji pohađaju srednjoškolsko obrazovanje nautičkog, brodostrojarskog i ribarsko - nautičkog smjera u akademskoj, odnosno školskoj godini  
</w:t>
      </w:r>
    </w:p>
    <w:p>
      <w:pPr>
        <w:jc w:val="both"/>
        <w:pStyle w:val="Normal5"/>
      </w:pPr>
      <w:r>
        <w:rPr>
          <w:rFonts w:hAnsi="Times New Roman" w:cs="Times New Roman"/>
        </w:rPr>
        <w:t xml:space="preserve">- UGOVOR o dodjeli stipendije  
</w:t>
      </w:r>
    </w:p>
    <w:p>
      <w:pPr>
        <w:jc w:val="both"/>
        <w:pStyle w:val="Normal5"/>
      </w:pPr>
      <w:r>
        <w:rPr>
          <w:rFonts w:hAnsi="Times New Roman" w:cs="Times New Roman"/>
        </w:rPr>
        <w:t xml:space="preserve">- Program stipendiranja redovitih studenata preddiplomskog sveučilišnog studija nautičkog i brodostrojarskog smjera i učenika koji pohađaju srednjoškolsko obrazovanje nautičkog i brodostrojarskog smjera temelji se na Zaključku Vlade Republike Hrvatske od 23. veljače 2006.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A570482-STIPENDIRANJE REDOVITIH UČENIKA I STUDENATA SREDNJIH POMORSKIH ŠKOLA I POMORSKIH FAKULTETA</w:t>
            </w:r>
          </w:p>
        </w:tc>
        <w:tc>
          <w:tcPr>
            <w:tcW w:w="1632.96" w:type="dxa"/>
            <w:vAlign w:val="center"/>
          </w:tcPr>
          <w:p>
            <w:pPr>
              <w:jc w:val="both"/>
              <w:pStyle w:val="CellColumn"/>
            </w:pPr>
            <w:r>
              <w:rPr>
                <w:rFonts w:hAnsi="Times New Roman" w:cs="Times New Roman"/>
              </w:rPr>
              <w:t xml:space="preserve">245.849</w:t>
            </w:r>
          </w:p>
        </w:tc>
        <w:tc>
          <w:tcPr>
            <w:tcW w:w="1632.96" w:type="dxa"/>
            <w:vAlign w:val="center"/>
          </w:tcPr>
          <w:p>
            <w:pPr>
              <w:jc w:val="both"/>
              <w:pStyle w:val="CellColumn"/>
            </w:pPr>
            <w:r>
              <w:rPr>
                <w:rFonts w:hAnsi="Times New Roman" w:cs="Times New Roman"/>
              </w:rPr>
              <w:t xml:space="preserve">273.878</w:t>
            </w:r>
          </w:p>
        </w:tc>
        <w:tc>
          <w:tcPr>
            <w:tcW w:w="1632.96" w:type="dxa"/>
            <w:vAlign w:val="center"/>
          </w:tcPr>
          <w:p>
            <w:pPr>
              <w:jc w:val="both"/>
              <w:pStyle w:val="CellColumn"/>
            </w:pPr>
            <w:r>
              <w:rPr>
                <w:rFonts w:hAnsi="Times New Roman" w:cs="Times New Roman"/>
              </w:rPr>
              <w:t xml:space="preserve">285.000</w:t>
            </w:r>
          </w:p>
        </w:tc>
        <w:tc>
          <w:tcPr>
            <w:tcW w:w="1632.96" w:type="dxa"/>
            <w:vAlign w:val="center"/>
          </w:tcPr>
          <w:p>
            <w:pPr>
              <w:jc w:val="both"/>
              <w:pStyle w:val="CellColumn"/>
            </w:pPr>
            <w:r>
              <w:rPr>
                <w:rFonts w:hAnsi="Times New Roman" w:cs="Times New Roman"/>
              </w:rPr>
              <w:t xml:space="preserve">325.000</w:t>
            </w:r>
          </w:p>
        </w:tc>
        <w:tc>
          <w:tcPr>
            <w:tcW w:w="1632.96" w:type="dxa"/>
            <w:vAlign w:val="center"/>
          </w:tcPr>
          <w:p>
            <w:pPr>
              <w:jc w:val="both"/>
              <w:pStyle w:val="CellColumn"/>
            </w:pPr>
            <w:r>
              <w:rPr>
                <w:rFonts w:hAnsi="Times New Roman" w:cs="Times New Roman"/>
              </w:rPr>
              <w:t xml:space="preserve">285.000</w:t>
            </w:r>
          </w:p>
        </w:tc>
        <w:tc>
          <w:tcPr>
            <w:tcW w:w="510.3" w:type="dxa"/>
            <w:vAlign w:val="center"/>
          </w:tcPr>
          <w:p>
            <w:pPr>
              <w:jc w:val="both"/>
              <w:pStyle w:val="CellColumn"/>
            </w:pPr>
            <w:r>
              <w:rPr>
                <w:rFonts w:hAnsi="Times New Roman" w:cs="Times New Roman"/>
              </w:rPr>
              <w:t xml:space="preserve">104,1</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od 2006. godine, a omogućava mladim pomorcima završetak obveznog obrazovnog procesa, koji je preduvjet za stjecanje časničkih zvanja jer svi naši časnici poznati su u svijetu kao izrazito vrsni stručnjaci te time predstavljaju jedan od najboljih „hrvatskih izvoznih proizvoda“.   
</w:t>
      </w:r>
    </w:p>
    <w:p>
      <w:pPr>
        <w:jc w:val="both"/>
        <w:pStyle w:val="Normal"/>
      </w:pPr>
      <w:r>
        <w:rPr>
          <w:rFonts w:hAnsi="Times New Roman" w:cs="Times New Roman"/>
        </w:rPr>
        <w:t xml:space="preserve">Financijska proračunska sredstva u proračunskom razdoblju 2026.-2028. planiraju se utrošiti za stipendiranje redovitih učenika i studenata srednjih pomorskih škola i pomorskih fakulteta, temeljem sklopljenih Ugovora o stipendiranju po pojedinom studentu/učeniku, a na osnovu ranije donesenih Rješenja ministra mora, prometa i infrastrukture o dodjeli stipendija.   
</w:t>
      </w:r>
    </w:p>
    <w:p>
      <w:pPr>
        <w:jc w:val="both"/>
        <w:pStyle w:val="Normal"/>
      </w:pPr>
      <w:r>
        <w:rPr>
          <w:rFonts w:hAnsi="Times New Roman" w:cs="Times New Roman"/>
        </w:rPr>
        <w:t xml:space="preserve">Stipendiranje redovitih studenata (sa 159,28 eura) i učenika (sa 106,18 eura mjesečno), projekt je kojeg Ministarstvo mora, prometa i infrastrukture provodi u cilju zaustavljanja trenda pada upisa u pomorske fakultete i škole. Poticanjem školovanja i specijalističke naobrazbe, razvidno je da se povećava broj i kvaliteta osposobljenih pomoraca na pomorskim školama i fakultetima. 
</w:t>
      </w:r>
    </w:p>
    <w:p>
      <w:pPr>
        <w:jc w:val="both"/>
        <w:pStyle w:val="Normal"/>
      </w:pPr>
      <w:r>
        <w:rPr>
          <w:rFonts w:hAnsi="Times New Roman" w:cs="Times New Roman"/>
        </w:rPr>
        <w:t xml:space="preserve">Kako tekuće godine, tako i u proračunskom razdoblju 2026. - 2028. godine, tendencija je stagnacije broja stipendista u cilju postizanja povećanja izvrsnosti učenika i studenata pomorskih srednjih škola i fakulteta.  
</w:t>
      </w:r>
    </w:p>
    <w:p>
      <w:pPr>
        <w:jc w:val="both"/>
        <w:pStyle w:val="Normal"/>
      </w:pPr>
      <w:r>
        <w:rPr>
          <w:rFonts w:hAnsi="Times New Roman" w:cs="Times New Roman"/>
        </w:rPr>
        <w:t xml:space="preserve">Iznos od 5.000 eura namijenjen je za javne bilježnike, prilikom sklapanja novih ugovora u narednim razdobljima.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dodijeljenih školarina i stipendija u oblasti pomorskog prometa</w:t>
            </w:r>
          </w:p>
        </w:tc>
        <w:tc>
          <w:tcPr>
            <w:tcW w:w="2245.32" w:type="dxa"/>
            <w:vAlign w:val="center"/>
          </w:tcPr>
          <w:p>
            <w:pPr>
              <w:jc w:val="both"/>
              <w:pStyle w:val="CellColumn"/>
            </w:pPr>
            <w:r>
              <w:rPr>
                <w:rFonts w:hAnsi="Times New Roman" w:cs="Times New Roman"/>
              </w:rPr>
              <w:t xml:space="preserve">Edukacijom stručnog kadra postiže se kvalitetnija usluga u pomorskom prometu (godišnja vrijednost)</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175</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175</w:t>
            </w:r>
          </w:p>
        </w:tc>
        <w:tc>
          <w:tcPr>
            <w:tcW w:w="918.54" w:type="dxa"/>
            <w:vAlign w:val="center"/>
          </w:tcPr>
          <w:p>
            <w:pPr>
              <w:jc w:val="both"/>
              <w:pStyle w:val="CellColumn"/>
            </w:pPr>
            <w:r>
              <w:rPr>
                <w:rFonts w:hAnsi="Times New Roman" w:cs="Times New Roman"/>
              </w:rPr>
              <w:t xml:space="preserve">175</w:t>
            </w:r>
          </w:p>
        </w:tc>
        <w:tc>
          <w:tcPr>
            <w:tcW w:w="918.54" w:type="dxa"/>
            <w:vAlign w:val="center"/>
          </w:tcPr>
          <w:p>
            <w:pPr>
              <w:jc w:val="both"/>
              <w:pStyle w:val="CellColumn"/>
            </w:pPr>
            <w:r>
              <w:rPr>
                <w:rFonts w:hAnsi="Times New Roman" w:cs="Times New Roman"/>
              </w:rPr>
              <w:t xml:space="preserve">175</w:t>
            </w:r>
          </w:p>
        </w:tc>
      </w:tr>
    </w:tbl>
    <w:p>
      <w:pPr>
        <w:jc w:val="left"/>
      </w:pPr>
      <w:r>
        <w:rPr>
          <w:rFonts w:hAnsi="Times New Roman" w:cs="Times New Roman"/>
        </w:rPr>
        <w:t xml:space="preserve"/>
      </w:r>
    </w:p>
    <w:p>
      <w:pPr>
        <w:jc w:val="left"/>
        <w:pStyle w:val="Heading4"/>
      </w:pPr>
      <w:r>
        <w:rPr>
          <w:rFonts w:hAnsi="Times New Roman" w:cs="Times New Roman"/>
        </w:rPr>
        <w:t xml:space="preserve">A754030 ČLANARINE U MEĐUNARODNIM ORGANIZACIJAMA U POMORSTVU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1. Međunarodna pomorska organizacija (IMO), London, Velika Britanija  
</w:t>
      </w:r>
    </w:p>
    <w:p>
      <w:pPr>
        <w:jc w:val="both"/>
        <w:pStyle w:val="Normal5"/>
      </w:pPr>
      <w:r>
        <w:rPr>
          <w:rFonts w:hAnsi="Times New Roman" w:cs="Times New Roman"/>
        </w:rPr>
        <w:t xml:space="preserve"> Odlukom o objavljivanju mnogostranih međunarodnih ugovora kojih je Republika Hrvatska stranka, na temelju pristupa (akcesije) (Narodne novine, broj 6/1994, od 6. lipnja 1994. godine) postali smo stranka Konvencije o osnivanju Međuvladine pomorske savjetodavne organizacije (IMCO) (Ženeva, 6. ožujka 1948.). 
</w:t>
      </w:r>
    </w:p>
    <w:p>
      <w:pPr>
        <w:jc w:val="both"/>
        <w:pStyle w:val="Normal5"/>
      </w:pPr>
      <w:r>
        <w:rPr>
          <w:rFonts w:hAnsi="Times New Roman" w:cs="Times New Roman"/>
        </w:rPr>
        <w:t xml:space="preserve">IMCO je izmjenama i dopunama promijenio ime u Međunarodnu pomorsku organizaciju (IMO) kako se i danas zove. Člankom 60. (prije članak 41.) navedene Konvencije određeno je da Skupština odobrava prijedlog proračuna te da raspodjeljuje troškove (doprinos) među državama članicama u skladu sa mjerilima koja utvrdi po razmatranju prijedloga Vijeća.   
</w:t>
      </w:r>
    </w:p>
    <w:p>
      <w:pPr>
        <w:jc w:val="both"/>
        <w:pStyle w:val="Normal5"/>
      </w:pPr>
      <w:r>
        <w:rPr>
          <w:rFonts w:hAnsi="Times New Roman" w:cs="Times New Roman"/>
        </w:rPr>
        <w:t xml:space="preserve">2. Međunarodna vlast za morsko dno (ISA), Kingston,  Jamajka  
</w:t>
      </w:r>
    </w:p>
    <w:p>
      <w:pPr>
        <w:jc w:val="both"/>
        <w:pStyle w:val="Normal5"/>
      </w:pPr>
      <w:r>
        <w:rPr>
          <w:rFonts w:hAnsi="Times New Roman" w:cs="Times New Roman"/>
        </w:rPr>
        <w:t xml:space="preserve">Konvencija Ujedinjenih naroda o pravu mora (UNCLOS) objavljena je u Narodnim novinama- Međunarodni ugovori br. 9/2000. Člankom 156. UNCLOS Konvencije kojim je ustanovljena Međunarodna vlast za morsko dno (ISA) izričito je propisano da su sve države stranke ipso facto članice Vlasti. Člankom  171. UNCLOS Konvencije određeno je da financijska sredstva Vlasti obuhvaćaju, između ostalog, doprinose članova Vlasti određene u skladu sa stavkom 2.(e), članka 160. kojim je određeno da Skupština određuje visine doprinosa članova za upravni proračun Vlasti u skladu s usvojenom skalom razreza, zasnovanoj na skali koja se koristi za redovni proračun Ujedinjenih naroda, dok Vlast ne bude raspolagala s dovoljno prihoda iz drugih izvora za podmirenje upravnih troškova. Republika Hrvatska odgovarajuću notifikaciju o sukcesiji položila je kod glavnog tajnika Ujedinjenih naroda 5. travnja 1995.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A754030-ČLANARINE U MEĐUNARODNIM ORGANIZACIJAMA U POMORSTVU</w:t>
            </w:r>
          </w:p>
        </w:tc>
        <w:tc>
          <w:tcPr>
            <w:tcW w:w="1632.96" w:type="dxa"/>
            <w:vAlign w:val="center"/>
          </w:tcPr>
          <w:p>
            <w:pPr>
              <w:jc w:val="both"/>
              <w:pStyle w:val="CellColumn"/>
            </w:pPr>
            <w:r>
              <w:rPr>
                <w:rFonts w:hAnsi="Times New Roman" w:cs="Times New Roman"/>
              </w:rPr>
              <w:t xml:space="preserve">52.415</w:t>
            </w:r>
          </w:p>
        </w:tc>
        <w:tc>
          <w:tcPr>
            <w:tcW w:w="1632.96" w:type="dxa"/>
            <w:vAlign w:val="center"/>
          </w:tcPr>
          <w:p>
            <w:pPr>
              <w:jc w:val="both"/>
              <w:pStyle w:val="CellColumn"/>
            </w:pPr>
            <w:r>
              <w:rPr>
                <w:rFonts w:hAnsi="Times New Roman" w:cs="Times New Roman"/>
              </w:rPr>
              <w:t xml:space="preserve">53.161</w:t>
            </w:r>
          </w:p>
        </w:tc>
        <w:tc>
          <w:tcPr>
            <w:tcW w:w="1632.96" w:type="dxa"/>
            <w:vAlign w:val="center"/>
          </w:tcPr>
          <w:p>
            <w:pPr>
              <w:jc w:val="both"/>
              <w:pStyle w:val="CellColumn"/>
            </w:pPr>
            <w:r>
              <w:rPr>
                <w:rFonts w:hAnsi="Times New Roman" w:cs="Times New Roman"/>
              </w:rPr>
              <w:t xml:space="preserve">65.000</w:t>
            </w:r>
          </w:p>
        </w:tc>
        <w:tc>
          <w:tcPr>
            <w:tcW w:w="1632.96" w:type="dxa"/>
            <w:vAlign w:val="center"/>
          </w:tcPr>
          <w:p>
            <w:pPr>
              <w:jc w:val="both"/>
              <w:pStyle w:val="CellColumn"/>
            </w:pPr>
            <w:r>
              <w:rPr>
                <w:rFonts w:hAnsi="Times New Roman" w:cs="Times New Roman"/>
              </w:rPr>
              <w:t xml:space="preserve">65.000</w:t>
            </w:r>
          </w:p>
        </w:tc>
        <w:tc>
          <w:tcPr>
            <w:tcW w:w="1632.96" w:type="dxa"/>
            <w:vAlign w:val="center"/>
          </w:tcPr>
          <w:p>
            <w:pPr>
              <w:jc w:val="both"/>
              <w:pStyle w:val="CellColumn"/>
            </w:pPr>
            <w:r>
              <w:rPr>
                <w:rFonts w:hAnsi="Times New Roman" w:cs="Times New Roman"/>
              </w:rPr>
              <w:t xml:space="preserve">65.000</w:t>
            </w:r>
          </w:p>
        </w:tc>
        <w:tc>
          <w:tcPr>
            <w:tcW w:w="510.3" w:type="dxa"/>
            <w:vAlign w:val="center"/>
          </w:tcPr>
          <w:p>
            <w:pPr>
              <w:jc w:val="both"/>
              <w:pStyle w:val="CellColumn"/>
            </w:pPr>
            <w:r>
              <w:rPr>
                <w:rFonts w:hAnsi="Times New Roman" w:cs="Times New Roman"/>
              </w:rPr>
              <w:t xml:space="preserve">122,3</w:t>
            </w:r>
          </w:p>
        </w:tc>
      </w:tr>
    </w:tbl>
    <w:p>
      <w:pPr>
        <w:jc w:val="left"/>
      </w:pPr>
      <w:r>
        <w:rPr>
          <w:rFonts w:hAnsi="Times New Roman" w:cs="Times New Roman"/>
        </w:rPr>
        <w:t xml:space="preserve"/>
      </w:r>
    </w:p>
    <w:p>
      <w:pPr>
        <w:jc w:val="both"/>
        <w:pStyle w:val="Normal"/>
      </w:pPr>
      <w:r>
        <w:rPr>
          <w:rFonts w:hAnsi="Times New Roman" w:cs="Times New Roman"/>
        </w:rPr>
        <w:t xml:space="preserve">Međunarodna pomorska organizacija (IMO), London je specijalizirana ustanova Ujedinjenih naroda osnovana 1948. godine s ciljem suradnje između vlada država članica na području pomorstva te je nadležna za razvoj međunarodnih instrumenata vezano za pomorsku sigurnost, sigurnosnu zaštitu i sprječavanje onečišćenja s brodova. Republika Hrvatska je članica od 8. srpnja 1992. godine, kada je na temelju pristupa (akcesije) postala stranka Konvencije o osnivanju Međuvladine pomorske savjetodavne organizacije (IMCO) iz 1948. godine, koja je kasnijim izmjenama preimenovana u Konvenciju o Međunarodnoj pomorskoj organizaciji (IMO).   
</w:t>
      </w:r>
    </w:p>
    <w:p>
      <w:pPr>
        <w:jc w:val="both"/>
        <w:pStyle w:val="Normal"/>
      </w:pPr>
      <w:r>
        <w:rPr>
          <w:rFonts w:hAnsi="Times New Roman" w:cs="Times New Roman"/>
        </w:rPr>
        <w:t xml:space="preserve">Članarina se plaća temeljem izračuna za svaku državu članicu kojeg verbalnom notom dostavlja glavni tajnik IMO-a unaprijed za svaku godinu, zajedno sa svim podacima za uplatu, a plativa je u roku od 30 dana od dostave tj. prvog dana kalendarske godine na koju se odnosi.  
</w:t>
      </w:r>
    </w:p>
    <w:p>
      <w:pPr>
        <w:jc w:val="both"/>
        <w:pStyle w:val="Normal"/>
      </w:pPr>
      <w:r>
        <w:rPr>
          <w:rFonts w:hAnsi="Times New Roman" w:cs="Times New Roman"/>
        </w:rPr>
        <w:t xml:space="preserve">Temeljem dostavljenog Računa i Izvješća Međunarodne pomorske organizacije (IMO) iz Londona o stanju financija za Republiku Hrvatsku kojeg ovo Ministarstvo zaprima početkom siječnja svake kalendarske godine, a koje je vezano za trošak godišnjeg članstva Republike Hrvatske u Međunarodnoj pomorskoj organizaciji (IMO), planiraju se proračunska sredstva za proračunsko razdoblje 2026.-2028. koja iznose cca. 39.000 eura godišnje (obračun se temelji na  obračunu godišnje članarine koja iznosi u prosjeku 34.000 GBP).  
</w:t>
      </w:r>
    </w:p>
    <w:p>
      <w:pPr>
        <w:jc w:val="both"/>
        <w:pStyle w:val="Normal"/>
      </w:pPr>
      <w:r>
        <w:rPr>
          <w:rFonts w:hAnsi="Times New Roman" w:cs="Times New Roman"/>
        </w:rPr>
        <w:t xml:space="preserve">Međunarodna vlast za morsko dno (ISA), Kingston, Jamajka  organizacija je preko koje države stranke organiziraju i nadziru djelatnosti u Zoni, posebno radi upravljanja bogatstvima Zone (obuhvaća dno mora i oceana i njihovo podzemlje izvan granica nacionalne jurisdikcije). Članarina se plaća temeljem izračuna za svaku državu članicu kojeg Stalnom predstavništvu Republike Hrvatske u Ujedinjenim narodima dostavlja glavni tajnik ISA-e unaprijed za svaku godinu, zajedno sa svim podacima za uplatu.  
</w:t>
      </w:r>
    </w:p>
    <w:p>
      <w:pPr>
        <w:jc w:val="both"/>
        <w:pStyle w:val="Normal"/>
      </w:pPr>
      <w:r>
        <w:rPr>
          <w:rFonts w:hAnsi="Times New Roman" w:cs="Times New Roman"/>
        </w:rPr>
        <w:t xml:space="preserve">Na traženje Uprave za multilateralna i globalna pitanja - Službe za UN pri Ministarstvu vanjskih i europskih poslova, te note Tajništva Međunarodne vlasti za morsko dno (International Seabed Authority), ovo Ministarstvo je u obvezi plaćati doprinos odnosno međunarodnu godišnju članarinu Republike Hrvatske za Međunarodnu vlast za morsko dno (International Seabed Authority- ISA).  
</w:t>
      </w:r>
    </w:p>
    <w:p>
      <w:pPr>
        <w:jc w:val="both"/>
        <w:pStyle w:val="Normal"/>
      </w:pPr>
      <w:r>
        <w:rPr>
          <w:rFonts w:hAnsi="Times New Roman" w:cs="Times New Roman"/>
        </w:rPr>
        <w:t xml:space="preserve">Obračun se temelji na  obračunu godišnje članarine koja iznosi u prosjeku 13.000 USD, a što iznosi cca. 11.250 eura.  
</w:t>
      </w:r>
    </w:p>
    <w:p>
      <w:pPr>
        <w:jc w:val="both"/>
        <w:pStyle w:val="Normal"/>
      </w:pPr>
      <w:r>
        <w:rPr>
          <w:rFonts w:hAnsi="Times New Roman" w:cs="Times New Roman"/>
        </w:rPr>
        <w:t xml:space="preserve">Zbog nemogućnosti točne procjene budućeg kretanja tečaja američke valute (USD), odnosno britanske valute (GBP), u 2026. godini i cijelom narednom proračunskom razdoblju, planirana proračunska sredstva za spomenute članarine iznose ukupno 65.000 eura godišnje.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sjednica IMO-a na kojima su sudjelovali predstavnici RH</w:t>
            </w:r>
          </w:p>
        </w:tc>
        <w:tc>
          <w:tcPr>
            <w:tcW w:w="2245.32" w:type="dxa"/>
            <w:vAlign w:val="center"/>
          </w:tcPr>
          <w:p>
            <w:pPr>
              <w:jc w:val="both"/>
              <w:pStyle w:val="CellColumn"/>
            </w:pPr>
            <w:r>
              <w:rPr>
                <w:rFonts w:hAnsi="Times New Roman" w:cs="Times New Roman"/>
              </w:rPr>
              <w:t xml:space="preserve">Sudjelovanjem na sjednicama postiže se zastupljenost RH u radu Odbora i Pododbora IMO-a, uključujući i sudjelovanje u donošenju odluka i procesu izrade nacrta međunarodnih instrumenata  
</w:t>
            </w:r>
          </w:p>
          <w:p>
            <w:pPr>
              <w:jc w:val="both"/>
              <w:pStyle w:val="CellColumn"/>
            </w:pPr>
            <w:r>
              <w:rPr>
                <w:rFonts w:hAnsi="Times New Roman" w:cs="Times New Roman"/>
              </w:rPr>
              <w:t xml:space="preserve">(godišnja vrijednost)</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12</w:t>
            </w:r>
          </w:p>
        </w:tc>
      </w:tr>
    </w:tbl>
    <w:p>
      <w:pPr>
        <w:jc w:val="left"/>
      </w:pPr>
      <w:r>
        <w:rPr>
          <w:rFonts w:hAnsi="Times New Roman" w:cs="Times New Roman"/>
        </w:rPr>
        <w:t xml:space="preserve"/>
      </w:r>
    </w:p>
    <w:p>
      <w:pPr>
        <w:jc w:val="left"/>
        <w:pStyle w:val="Heading4"/>
      </w:pPr>
      <w:r>
        <w:rPr>
          <w:rFonts w:hAnsi="Times New Roman" w:cs="Times New Roman"/>
        </w:rPr>
        <w:t xml:space="preserve">A754037 SUFINANCIRANJE UKRCAJA VJEŽBENIKA NA BRODOVE U MEĐUNARODNOJ I NACIONALNOJ PLOVIDBI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Program sufinanciranja ukrcaja vježbenika palube, stroja i elektrotehnike na brodove u međunarodnoj i nacionalnoj plovidbi za razdoblje od 2025. do 2029. godine, kojeg je Vlada Republike Hrvatske usvojila Odlukom od  11. rujna 2025.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A754037-SUFINANCIRANJE UKRCAJA VJEŽBENIKA NA BRODOVE U MEĐUNARODNOJ I NACIONALNOJ PLOVIDBI</w:t>
            </w:r>
          </w:p>
        </w:tc>
        <w:tc>
          <w:tcPr>
            <w:tcW w:w="1632.96" w:type="dxa"/>
            <w:vAlign w:val="center"/>
          </w:tcPr>
          <w:p>
            <w:pPr>
              <w:jc w:val="both"/>
              <w:pStyle w:val="CellColumn"/>
            </w:pPr>
            <w:r>
              <w:rPr>
                <w:rFonts w:hAnsi="Times New Roman" w:cs="Times New Roman"/>
              </w:rPr>
              <w:t xml:space="preserve">1.061.782</w:t>
            </w:r>
          </w:p>
        </w:tc>
        <w:tc>
          <w:tcPr>
            <w:tcW w:w="1632.96" w:type="dxa"/>
            <w:vAlign w:val="center"/>
          </w:tcPr>
          <w:p>
            <w:pPr>
              <w:jc w:val="both"/>
              <w:pStyle w:val="CellColumn"/>
            </w:pPr>
            <w:r>
              <w:rPr>
                <w:rFonts w:hAnsi="Times New Roman" w:cs="Times New Roman"/>
              </w:rPr>
              <w:t xml:space="preserve">1.061.782</w:t>
            </w:r>
          </w:p>
        </w:tc>
        <w:tc>
          <w:tcPr>
            <w:tcW w:w="1632.96" w:type="dxa"/>
            <w:vAlign w:val="center"/>
          </w:tcPr>
          <w:p>
            <w:pPr>
              <w:jc w:val="both"/>
              <w:pStyle w:val="CellColumn"/>
            </w:pPr>
            <w:r>
              <w:rPr>
                <w:rFonts w:hAnsi="Times New Roman" w:cs="Times New Roman"/>
              </w:rPr>
              <w:t xml:space="preserve">1.061.782</w:t>
            </w:r>
          </w:p>
        </w:tc>
        <w:tc>
          <w:tcPr>
            <w:tcW w:w="1632.96" w:type="dxa"/>
            <w:vAlign w:val="center"/>
          </w:tcPr>
          <w:p>
            <w:pPr>
              <w:jc w:val="both"/>
              <w:pStyle w:val="CellColumn"/>
            </w:pPr>
            <w:r>
              <w:rPr>
                <w:rFonts w:hAnsi="Times New Roman" w:cs="Times New Roman"/>
              </w:rPr>
              <w:t xml:space="preserve">1.061.782</w:t>
            </w:r>
          </w:p>
        </w:tc>
        <w:tc>
          <w:tcPr>
            <w:tcW w:w="1632.96" w:type="dxa"/>
            <w:vAlign w:val="center"/>
          </w:tcPr>
          <w:p>
            <w:pPr>
              <w:jc w:val="both"/>
              <w:pStyle w:val="CellColumn"/>
            </w:pPr>
            <w:r>
              <w:rPr>
                <w:rFonts w:hAnsi="Times New Roman" w:cs="Times New Roman"/>
              </w:rPr>
              <w:t xml:space="preserve">1.061.782</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od 2015. godine. Temeljem Programa Vlade RH, Ministarstvo mora, prometa i infrastrukture provodi postupak određivanja kvota, odnosno maksimalnog broja dana plovidbe hrvatskih vježbenika, koje će, izabranim brodarima, sufinancirati u navedenom trogodišnjem razdoblju iz Državnog proračuna Republike Hrvatske.  
</w:t>
      </w:r>
    </w:p>
    <w:p>
      <w:pPr>
        <w:jc w:val="both"/>
        <w:pStyle w:val="Normal"/>
      </w:pPr>
      <w:r>
        <w:rPr>
          <w:rFonts w:hAnsi="Times New Roman" w:cs="Times New Roman"/>
        </w:rPr>
        <w:t xml:space="preserve">Korisnik subvencije je brodar sa sjedištem u državi članici Europske unije koji ukrcava hrvatske vježbenike na brodove koji plove pod zastavama država članica Europske unije, a samo iznimno i na brodove koji plove pod zastavama trećih država, ako je isto opravdano objektivnim kriterijima, kao što je nedostatak slobodnih mjesta na brodovima država članica Europske unije.  
</w:t>
      </w:r>
    </w:p>
    <w:p>
      <w:pPr>
        <w:jc w:val="both"/>
        <w:pStyle w:val="Normal"/>
      </w:pPr>
      <w:r>
        <w:rPr>
          <w:rFonts w:hAnsi="Times New Roman" w:cs="Times New Roman"/>
        </w:rPr>
        <w:t xml:space="preserve">Vježbenički staž se subvencionira u trajanju do 12 mjeseci na brodovima od 500 BT ili većim u međunarodnoj plovidbi, odnosno u trajanju do 6 mjeseci na brodovima od 500 BT ili većim u nacionalnoj plovidbi na području Republike Hrvatske i to isključivo kod onog brodara u nacionalnoj plovidbi, koji tom istom vježbeniku osigurava obavljanje i drugog dijela vježbeničkog staža (do punog trajanja) u međunarodnoj plovidbi.  
</w:t>
      </w:r>
    </w:p>
    <w:p>
      <w:pPr>
        <w:jc w:val="both"/>
        <w:pStyle w:val="Normal"/>
      </w:pPr>
      <w:r>
        <w:rPr>
          <w:rFonts w:hAnsi="Times New Roman" w:cs="Times New Roman"/>
        </w:rPr>
        <w:t xml:space="preserve">Ukrcaj vježbenika se planira sufinancirati u okviru raspoloživih proračunskih sredstava za svaku godinu Programa i to u najmanjem  procijenjenom iznosu od 30 eura po ukrcanom vježbeniku dnevno, za vježbenički staž na brodu u međunarodnoj plovidbi, odnosno u najmanjem procijenjenom iznosu od 15 eura dnevno, za vježbenički staž na brodu u nacionalnoj plovidbi. Preostali iznos troškova ukrcaja hrvatskih vježbenika, snose brodari vlastitim sredstvima.  
</w:t>
      </w:r>
    </w:p>
    <w:p>
      <w:pPr>
        <w:jc w:val="both"/>
        <w:pStyle w:val="Normal"/>
      </w:pPr>
      <w:r>
        <w:rPr>
          <w:rFonts w:hAnsi="Times New Roman" w:cs="Times New Roman"/>
        </w:rPr>
        <w:t xml:space="preserve">Troškovi brodara koji su prihvatljivi za sufinanciranje, temeljem ovog Programa, obuhvaćaju troškove plaće, polaznog i povratnog putovanja, troškove mentorskog rada, hranarine, troškove materijala i robe, te amortizacije materijala i potrošne robe, izravno povezane s obavljanjem vježbeničkoga staža.  
</w:t>
      </w:r>
    </w:p>
    <w:p>
      <w:pPr>
        <w:jc w:val="both"/>
        <w:pStyle w:val="Normal"/>
      </w:pPr>
      <w:r>
        <w:rPr>
          <w:rFonts w:hAnsi="Times New Roman" w:cs="Times New Roman"/>
        </w:rPr>
        <w:t xml:space="preserve">Sredstva za navedeni Program osigurana su u iznosu od 1.061.782 eura godišnje.  
</w:t>
      </w:r>
    </w:p>
    <w:p>
      <w:pPr>
        <w:jc w:val="both"/>
        <w:pStyle w:val="Normal"/>
      </w:pPr>
      <w:r>
        <w:rPr>
          <w:rFonts w:hAnsi="Times New Roman" w:cs="Times New Roman"/>
        </w:rPr>
        <w:t xml:space="preserve">Ciljevi ove aktivnosti su: stvoriti motivirajuće uvjete za izbor pomorskog zvanja, omogućiti mladim pomorcima završetak obveznog obrazovnog procesa, koji je preduvjet za stjecanje časničkih zvanja, potaknuti hrvatske brodare na ukrcaj vježbenika izvan obveza brodara koji su uključeni u obvezu poreza po tonaži, smanjiti nezaposlenost u Republici Hrvatskoj, te povećati prihode u Državnom proračunu Republike Hrvatske.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vježbenika na brodu koji se subvencioniraju</w:t>
            </w:r>
          </w:p>
        </w:tc>
        <w:tc>
          <w:tcPr>
            <w:tcW w:w="2245.32" w:type="dxa"/>
            <w:vAlign w:val="center"/>
          </w:tcPr>
          <w:p>
            <w:pPr>
              <w:jc w:val="both"/>
              <w:pStyle w:val="CellColumn"/>
            </w:pPr>
            <w:r>
              <w:rPr>
                <w:rFonts w:hAnsi="Times New Roman" w:cs="Times New Roman"/>
              </w:rPr>
              <w:t xml:space="preserve">Ukrcavanjem vježbenika na brodove povećava se struktura stručno osposobljenih pomoraca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300</w:t>
            </w:r>
          </w:p>
        </w:tc>
        <w:tc>
          <w:tcPr>
            <w:tcW w:w="918.54" w:type="dxa"/>
            <w:vAlign w:val="center"/>
          </w:tcPr>
          <w:p>
            <w:pPr>
              <w:jc w:val="both"/>
              <w:pStyle w:val="CellColumn"/>
            </w:pPr>
            <w:r>
              <w:rPr>
                <w:rFonts w:hAnsi="Times New Roman" w:cs="Times New Roman"/>
              </w:rPr>
              <w:t xml:space="preserve">300</w:t>
            </w:r>
          </w:p>
        </w:tc>
        <w:tc>
          <w:tcPr>
            <w:tcW w:w="918.54" w:type="dxa"/>
            <w:vAlign w:val="center"/>
          </w:tcPr>
          <w:p>
            <w:pPr>
              <w:jc w:val="both"/>
              <w:pStyle w:val="CellColumn"/>
            </w:pPr>
            <w:r>
              <w:rPr>
                <w:rFonts w:hAnsi="Times New Roman" w:cs="Times New Roman"/>
              </w:rPr>
              <w:t xml:space="preserve">300</w:t>
            </w:r>
          </w:p>
        </w:tc>
      </w:tr>
      <w:tr>
        <w:trPr>
          <w:cantSplit/>
        </w:trPr>
        <w:tc>
          <w:tcPr>
            <w:tcW w:w="2245.32" w:type="dxa"/>
            <w:vAlign w:val="center"/>
          </w:tcPr>
          <w:p>
            <w:pPr>
              <w:jc w:val="both"/>
              <w:pStyle w:val="CellColumn"/>
            </w:pPr>
            <w:r>
              <w:rPr>
                <w:rFonts w:hAnsi="Times New Roman" w:cs="Times New Roman"/>
              </w:rPr>
              <w:t xml:space="preserve">Broj dana koji su vježbenici proveli na brodu</w:t>
            </w:r>
          </w:p>
        </w:tc>
        <w:tc>
          <w:tcPr>
            <w:tcW w:w="2245.32" w:type="dxa"/>
            <w:vAlign w:val="center"/>
          </w:tcPr>
          <w:p>
            <w:pPr>
              <w:jc w:val="both"/>
              <w:pStyle w:val="CellColumn"/>
            </w:pPr>
            <w:r>
              <w:rPr>
                <w:rFonts w:hAnsi="Times New Roman" w:cs="Times New Roman"/>
              </w:rPr>
              <w:t xml:space="preserve">Ukrcavanjem vježbenika na brodove povećava se struktura stručno osposobljenih pomoraca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35.000</w:t>
            </w:r>
          </w:p>
        </w:tc>
        <w:tc>
          <w:tcPr>
            <w:tcW w:w="918.54" w:type="dxa"/>
            <w:vAlign w:val="center"/>
          </w:tcPr>
          <w:p>
            <w:pPr>
              <w:jc w:val="both"/>
              <w:pStyle w:val="CellColumn"/>
            </w:pPr>
            <w:r>
              <w:rPr>
                <w:rFonts w:hAnsi="Times New Roman" w:cs="Times New Roman"/>
              </w:rPr>
              <w:t xml:space="preserve">35.000</w:t>
            </w:r>
          </w:p>
        </w:tc>
        <w:tc>
          <w:tcPr>
            <w:tcW w:w="918.54" w:type="dxa"/>
            <w:vAlign w:val="center"/>
          </w:tcPr>
          <w:p>
            <w:pPr>
              <w:jc w:val="both"/>
              <w:pStyle w:val="CellColumn"/>
            </w:pPr>
            <w:r>
              <w:rPr>
                <w:rFonts w:hAnsi="Times New Roman" w:cs="Times New Roman"/>
              </w:rPr>
              <w:t xml:space="preserve">35.000</w:t>
            </w:r>
          </w:p>
        </w:tc>
      </w:tr>
    </w:tbl>
    <w:p>
      <w:pPr>
        <w:jc w:val="left"/>
      </w:pPr>
      <w:r>
        <w:rPr>
          <w:rFonts w:hAnsi="Times New Roman" w:cs="Times New Roman"/>
        </w:rPr>
        <w:t xml:space="preserve"/>
      </w:r>
    </w:p>
    <w:p>
      <w:pPr>
        <w:jc w:val="left"/>
        <w:pStyle w:val="Heading4"/>
      </w:pPr>
      <w:r>
        <w:rPr>
          <w:rFonts w:hAnsi="Times New Roman" w:cs="Times New Roman"/>
        </w:rPr>
        <w:t xml:space="preserve">A754044 PROMIDŽBA POMORSTVA REPUBLIKE HRVATSKE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Strategija pomorskog razvitka i integralne pomorske politike Republike Hrvatske za razdoblje od 2014. do 2020. godine; Glava 5 .Jačanje pomorskih znanja i kulture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A754044-PROMIDŽBA POMORSTVA REPUBLIKE HRVATSKE</w:t>
            </w:r>
          </w:p>
        </w:tc>
        <w:tc>
          <w:tcPr>
            <w:tcW w:w="1632.96" w:type="dxa"/>
            <w:vAlign w:val="center"/>
          </w:tcPr>
          <w:p>
            <w:pPr>
              <w:jc w:val="both"/>
              <w:pStyle w:val="CellColumn"/>
            </w:pPr>
            <w:r>
              <w:rPr>
                <w:rFonts w:hAnsi="Times New Roman" w:cs="Times New Roman"/>
              </w:rPr>
              <w:t xml:space="preserve">65.936</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sklopu manifestacije Dani hrvatskog pomorstva i unutarnje plovidbe, u 2025. godini, u organizaciji Ministarstva mora, prometa i infrastrukture, uz svečanu akademiju na kojoj se dodjeljuju nagrade i priznanja svima koji su dali poseban doprinos razvoju pomorstva i unutarnje plovidbe u Republici Hrvatskoj, planira se održati i Konferencija o pomorstvu i unutarnjoj plovidbi, o najaktualnijim temama iz područja pomorstva i unutarnje plovidbe, poput onih o ulaganju u lučku infrastrukturu, zaštiti morskog okoliša, brodarstva i problematici uređenja plovnih putova, u cilju razvoja lučke infrastrukture na unutarnjim plovnim putovima. Planirana proračunska sredstva za 2026. godinu predviđena za Dane hrvatskog pomorstva i unutarnje plovidbe, u iznosu od 42.720 eura, planiraju se utrošiti za pripremu, organizaciju, provedbu i koordinaciju aktivnosti vezanih uz događanje.   
</w:t>
      </w:r>
    </w:p>
    <w:p>
      <w:pPr>
        <w:jc w:val="both"/>
        <w:pStyle w:val="Normal"/>
      </w:pPr>
      <w:r>
        <w:rPr>
          <w:rFonts w:hAnsi="Times New Roman" w:cs="Times New Roman"/>
        </w:rPr>
        <w:t xml:space="preserve">Preostali iznos planira se za marketinške vidljivosti pomorskog sektora na tržištu te suradnju pomorskog sektora s akademskom zajednicom i gospodarskim subjektima.   
</w:t>
      </w:r>
    </w:p>
    <w:p>
      <w:pPr>
        <w:jc w:val="both"/>
        <w:pStyle w:val="Normal"/>
      </w:pPr>
      <w:r>
        <w:rPr>
          <w:rFonts w:hAnsi="Times New Roman" w:cs="Times New Roman"/>
        </w:rPr>
        <w:t xml:space="preserve">Proračunska sredstava na ovoj aktivnosti planirana su i u projekcijama Proračuna RH za 2027. i 2028. godinu, budući da se ova manifestacija (nekadašnji Dan pomoraca-Sv. Nikola) održava redovito svake godine u organizaciji ovoga Ministarstva.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održanih konferencija</w:t>
            </w:r>
          </w:p>
        </w:tc>
        <w:tc>
          <w:tcPr>
            <w:tcW w:w="2245.32" w:type="dxa"/>
            <w:vAlign w:val="center"/>
          </w:tcPr>
          <w:p>
            <w:pPr>
              <w:jc w:val="both"/>
              <w:pStyle w:val="CellColumn"/>
            </w:pPr>
            <w:r>
              <w:rPr>
                <w:rFonts w:hAnsi="Times New Roman" w:cs="Times New Roman"/>
              </w:rPr>
              <w:t xml:space="preserve">Sudjelovanje na manifestaciji ima za cilj ukazivanje  na važnost hrvatskog pomorskog sektora na europskom i svjetskom tržištu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A810040 PRIPREMA I PROVEDBA PROJEKATA U POMORSTVU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pomorskom dobru i morskim lukama 
</w:t>
      </w:r>
    </w:p>
    <w:p>
      <w:pPr>
        <w:jc w:val="both"/>
        <w:pStyle w:val="Normal5"/>
      </w:pPr>
      <w:r>
        <w:rPr>
          <w:rFonts w:hAnsi="Times New Roman" w:cs="Times New Roman"/>
        </w:rPr>
        <w:t xml:space="preserve">- Pomorski zakonik , članak 6., stavak 8.  
</w:t>
      </w:r>
    </w:p>
    <w:p>
      <w:pPr>
        <w:jc w:val="both"/>
        <w:pStyle w:val="Normal5"/>
      </w:pPr>
      <w:r>
        <w:rPr>
          <w:rFonts w:hAnsi="Times New Roman" w:cs="Times New Roman"/>
        </w:rPr>
        <w:t xml:space="preserve">- Direktiva 2014/94/EU Europskog parlamenta i Vijeća od 22. listopada 2014. o uspostavi infrastrukture za alternativna goriva  
</w:t>
      </w:r>
    </w:p>
    <w:p>
      <w:pPr>
        <w:jc w:val="both"/>
        <w:pStyle w:val="Normal5"/>
      </w:pPr>
      <w:r>
        <w:rPr>
          <w:rFonts w:hAnsi="Times New Roman" w:cs="Times New Roman"/>
        </w:rPr>
        <w:t xml:space="preserve">- Zakon o uspostavi infrastrukture za alternativna goriva  
</w:t>
      </w:r>
    </w:p>
    <w:p>
      <w:pPr>
        <w:jc w:val="both"/>
        <w:pStyle w:val="Normal5"/>
      </w:pPr>
      <w:r>
        <w:rPr>
          <w:rFonts w:hAnsi="Times New Roman" w:cs="Times New Roman"/>
        </w:rPr>
        <w:t xml:space="preserve">- Nacionalni okvir politike za uspostavu infrastrukture i razvoj tržišta alternativnih goriva u prometu  
</w:t>
      </w:r>
    </w:p>
    <w:p>
      <w:pPr>
        <w:jc w:val="both"/>
        <w:pStyle w:val="Normal5"/>
      </w:pPr>
      <w:r>
        <w:rPr>
          <w:rFonts w:hAnsi="Times New Roman" w:cs="Times New Roman"/>
        </w:rPr>
        <w:t xml:space="preserve">- Program Vlade Republike Hrvatske za razdoblje od 2020.-2024. godine 
</w:t>
      </w:r>
    </w:p>
    <w:p>
      <w:pPr>
        <w:jc w:val="both"/>
        <w:pStyle w:val="Normal5"/>
      </w:pPr>
      <w:r>
        <w:rPr>
          <w:rFonts w:hAnsi="Times New Roman" w:cs="Times New Roman"/>
        </w:rPr>
        <w:t xml:space="preserve">- Nacionalni plan razvoja obalnog linijskog pomorskog prometa do 2030.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A810040-PRIPREMA I PROVEDBA PROJEKATA U POMORSTVU</w:t>
            </w:r>
          </w:p>
        </w:tc>
        <w:tc>
          <w:tcPr>
            <w:tcW w:w="1632.96" w:type="dxa"/>
            <w:vAlign w:val="center"/>
          </w:tcPr>
          <w:p>
            <w:pPr>
              <w:jc w:val="both"/>
              <w:pStyle w:val="CellColumn"/>
            </w:pPr>
            <w:r>
              <w:rPr>
                <w:rFonts w:hAnsi="Times New Roman" w:cs="Times New Roman"/>
              </w:rPr>
              <w:t xml:space="preserve">94.971</w:t>
            </w:r>
          </w:p>
        </w:tc>
        <w:tc>
          <w:tcPr>
            <w:tcW w:w="1632.96" w:type="dxa"/>
            <w:vAlign w:val="center"/>
          </w:tcPr>
          <w:p>
            <w:pPr>
              <w:jc w:val="both"/>
              <w:pStyle w:val="CellColumn"/>
            </w:pPr>
            <w:r>
              <w:rPr>
                <w:rFonts w:hAnsi="Times New Roman" w:cs="Times New Roman"/>
              </w:rPr>
              <w:t xml:space="preserve">140.000</w:t>
            </w:r>
          </w:p>
        </w:tc>
        <w:tc>
          <w:tcPr>
            <w:tcW w:w="1632.96" w:type="dxa"/>
            <w:vAlign w:val="center"/>
          </w:tcPr>
          <w:p>
            <w:pPr>
              <w:jc w:val="both"/>
              <w:pStyle w:val="CellColumn"/>
            </w:pPr>
            <w:r>
              <w:rPr>
                <w:rFonts w:hAnsi="Times New Roman" w:cs="Times New Roman"/>
              </w:rPr>
              <w:t xml:space="preserve">140.000</w:t>
            </w:r>
          </w:p>
        </w:tc>
        <w:tc>
          <w:tcPr>
            <w:tcW w:w="1632.96" w:type="dxa"/>
            <w:vAlign w:val="center"/>
          </w:tcPr>
          <w:p>
            <w:pPr>
              <w:jc w:val="both"/>
              <w:pStyle w:val="CellColumn"/>
            </w:pPr>
            <w:r>
              <w:rPr>
                <w:rFonts w:hAnsi="Times New Roman" w:cs="Times New Roman"/>
              </w:rPr>
              <w:t xml:space="preserve">150.000</w:t>
            </w:r>
          </w:p>
        </w:tc>
        <w:tc>
          <w:tcPr>
            <w:tcW w:w="1632.96" w:type="dxa"/>
            <w:vAlign w:val="center"/>
          </w:tcPr>
          <w:p>
            <w:pPr>
              <w:jc w:val="both"/>
              <w:pStyle w:val="CellColumn"/>
            </w:pPr>
            <w:r>
              <w:rPr>
                <w:rFonts w:hAnsi="Times New Roman" w:cs="Times New Roman"/>
              </w:rPr>
              <w:t xml:space="preserve">140.000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Proračunska sredstva u ukupnom iznosu od 65.000 eura, koja su planirana u 2026. godini na ovoj aktivnosti, biti će namijenjena za angažiranje vanjskih suradnika prilikom izrade Strategije pomorskog razvitka i integralne pomorske politike za razdoblje od 2026.-2032. godine, Nacionalnog plana upravljanja i gospodarenja pomorskim dobrom i morskim lukama, kao i ostalih podzakonskih akata, koji se donose temeljem novog Zakona o pomorskom dobru i morskim lukama. Proračunska sredstva na ovoj aktivnosti u iznosu od 65.000 eura, planirana su u projekcijama proračuna za 2027., te iznos od 55.000 eura u 2028. godini, a planiraju se utrošiti za pružanje administrativne i tehničke pomoći djelatnicima koji će raditi na pripremi i provedbi novih projekata iz područja pomorstva i to u svrhu provedbe svih mjera koje su identificirane Nacionalnim planom razvoja obalnog linijskog pomorskog prometa do 2030. godine.  
</w:t>
      </w:r>
    </w:p>
    <w:p>
      <w:pPr>
        <w:jc w:val="both"/>
        <w:pStyle w:val="Normal"/>
      </w:pPr>
      <w:r>
        <w:rPr>
          <w:rFonts w:hAnsi="Times New Roman" w:cs="Times New Roman"/>
        </w:rPr>
        <w:t xml:space="preserve">Dana 29. svibnja 2013. godine, Vlada RH je donijela Odluku o obavljanju poslova podrške sustavu nadzora potrošnje plinskog ulja za gospodarske i javne namjene u plovidbi, kojom je zadužila i Financijsku agenciju (FINA) za provedbu propisa te su Ministarstvo mora, prometa i infrastrukture i FINA sklopili Ugovor (br.1/2019.) o obavljanju poslova podrške sustavu nadzora potrošnje plinskog ulja za gospodarske i javne namjene u plovidbi, od 22. ožujka 2019. godine.  
</w:t>
      </w:r>
    </w:p>
    <w:p>
      <w:pPr>
        <w:jc w:val="both"/>
        <w:pStyle w:val="Normal"/>
      </w:pPr>
      <w:r>
        <w:rPr>
          <w:rFonts w:hAnsi="Times New Roman" w:cs="Times New Roman"/>
        </w:rPr>
        <w:t xml:space="preserve">Sredstva u iznosu od 70.000 eura godišnje, planirana u Državnom proračunu RH za proračunsko razdoblje 2026.-2028. godine, namijenjena su za plaćanje obavljenih usluga Financijske agencije, Zagreb (FINA), vezano za izvršavanje Zakona o trošarinama (Narodne novine, broj 106/18 i 121/19) i Pravilnika o uvjetima i načinu oslobođenja od plaćanja trošarine na energente koji se koriste kao pogonsko gorivo za plovidbu (Narodne novine, broj  1/19).   
</w:t>
      </w:r>
    </w:p>
    <w:p>
      <w:pPr>
        <w:jc w:val="both"/>
        <w:pStyle w:val="Normal"/>
      </w:pPr>
      <w:r>
        <w:rPr>
          <w:rFonts w:hAnsi="Times New Roman" w:cs="Times New Roman"/>
        </w:rPr>
        <w:t xml:space="preserve">Računi Financijske agencije koji se mjesečno dostavljaju ovom Ministarstvu na naplatu, odnose se na plaćanje izvršene usluge programske podrške Sustavu nadzora potrošnje plinskog ulja za gospodarske i javne namjene u plovidbi, uz dostavljeni mjesečni izvještaj o istome.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Izrađena Strategija pomorskog razvitka i integralne pomorske politike RH za razdoblje 2026.-2032.</w:t>
            </w:r>
          </w:p>
        </w:tc>
        <w:tc>
          <w:tcPr>
            <w:tcW w:w="2245.32" w:type="dxa"/>
            <w:vAlign w:val="center"/>
          </w:tcPr>
          <w:p>
            <w:pPr>
              <w:jc w:val="both"/>
              <w:pStyle w:val="CellColumn"/>
            </w:pPr>
            <w:r>
              <w:rPr>
                <w:rFonts w:hAnsi="Times New Roman" w:cs="Times New Roman"/>
              </w:rPr>
              <w:t xml:space="preserve">Izrađenom Strategijom pomorskog razvitka i integralne pomorske politike RH za razdoblje 2024.-2031. pomorski sektor će dobiti nove strateške smjernice razvoja sukladno Zajedničkim politikama Europske Unije.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K820085 NPOO C2.3. R2-I1 - NADOGRADNJA JEDINSTVENE NACIONALNE BAZE PODATAKA POMORSKOG DOBRA REPUBLIKE HRVATSKE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pomorskom dobru i morskim lukama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K820085-NPOO C2.3. R2-I1 - NADOGRADNJA JEDINSTVENE NACIONALNE BAZE PODATAKA POMORSKOG DOBRA REPUBLIKE HRVATSKE</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468.813</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Projekt se odnosi na nadogradnju Jedinstvene nacionalne baze podataka pomorskog dobra Republike Hrvatske za koje su osigurana sredstva u Nacionalnom planu oporavka i otpornosti 2021. – 2026., u sklopu investicije C2.3. R2-I1/10 Uspostava središnjeg sustava interoperabilnosti.
</w:t>
      </w:r>
    </w:p>
    <w:p>
      <w:pPr>
        <w:jc w:val="both"/>
        <w:pStyle w:val="Normal"/>
      </w:pPr>
      <w:r>
        <w:rPr>
          <w:rFonts w:hAnsi="Times New Roman" w:cs="Times New Roman"/>
        </w:rPr>
        <w:t xml:space="preserve">Tijelo nadležno za provedbu podkomponente C2.3. Digitalna transformacija društva i javne uprave Nacionalnog plana oporavka i otpornosti 2021. – 2026. je Ministarstvo pravosuđa, uprave i digitalne transformacije, dok je Ministarstvo mora, prometa i infrastrukture Korisnik. Ukupna vrijednost ovog projekta iznosi 468.812,50 eura s PDV-om i sredstva su u cijelosti osigurana.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Nadogradnja Jedinstvene nacionalne baze podataka pomorskog dobra Republike Hrvatske</w:t>
            </w:r>
          </w:p>
        </w:tc>
        <w:tc>
          <w:tcPr>
            <w:tcW w:w="2245.32" w:type="dxa"/>
            <w:vAlign w:val="center"/>
          </w:tcPr>
          <w:p>
            <w:pPr>
              <w:jc w:val="both"/>
              <w:pStyle w:val="CellColumn"/>
            </w:pPr>
            <w:r>
              <w:rPr>
                <w:rFonts w:hAnsi="Times New Roman" w:cs="Times New Roman"/>
              </w:rPr>
              <w:t xml:space="preserve">Cilj nadogradnje je povezivanje Jedinstvene nacionalne baze podataka pomorskog dobra Republike Hrvatske s Državnom sabirnicom (GSB) te objava servisa na istoj, izrada i objava INSPIRE servisa te nadogradnje i usklađenje Jedinstvene nacionalne baze podataka pomorskog dobra Republike Hrvatske s novim Zakonom o pomorskom dobru i morskim lukama.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3"/>
      </w:pPr>
      <w:r>
        <w:rPr>
          <w:rFonts w:hAnsi="Times New Roman" w:cs="Times New Roman"/>
        </w:rPr>
        <w:t xml:space="preserve">3118 RAZVOJ I SIGURNOST KOPNENOG PROMETA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3118-RAZVOJ I SIGURNOST KOPNENOG PROMETA</w:t>
            </w:r>
          </w:p>
        </w:tc>
        <w:tc>
          <w:tcPr>
            <w:tcW w:w="1632.96" w:type="dxa"/>
            <w:vAlign w:val="center"/>
          </w:tcPr>
          <w:p>
            <w:pPr>
              <w:jc w:val="both"/>
              <w:pStyle w:val="CellColumn"/>
            </w:pPr>
            <w:r>
              <w:rPr>
                <w:rFonts w:hAnsi="Times New Roman" w:cs="Times New Roman"/>
              </w:rPr>
              <w:t xml:space="preserve">215.062.835</w:t>
            </w:r>
          </w:p>
        </w:tc>
        <w:tc>
          <w:tcPr>
            <w:tcW w:w="1632.96" w:type="dxa"/>
            <w:vAlign w:val="center"/>
          </w:tcPr>
          <w:p>
            <w:pPr>
              <w:jc w:val="both"/>
              <w:pStyle w:val="CellColumn"/>
            </w:pPr>
            <w:r>
              <w:rPr>
                <w:rFonts w:hAnsi="Times New Roman" w:cs="Times New Roman"/>
              </w:rPr>
              <w:t xml:space="preserve">378.131.016</w:t>
            </w:r>
          </w:p>
        </w:tc>
        <w:tc>
          <w:tcPr>
            <w:tcW w:w="1632.96" w:type="dxa"/>
            <w:vAlign w:val="center"/>
          </w:tcPr>
          <w:p>
            <w:pPr>
              <w:jc w:val="both"/>
              <w:pStyle w:val="CellColumn"/>
            </w:pPr>
            <w:r>
              <w:rPr>
                <w:rFonts w:hAnsi="Times New Roman" w:cs="Times New Roman"/>
              </w:rPr>
              <w:t xml:space="preserve">312.890.237</w:t>
            </w:r>
          </w:p>
        </w:tc>
        <w:tc>
          <w:tcPr>
            <w:tcW w:w="1632.96" w:type="dxa"/>
            <w:vAlign w:val="center"/>
          </w:tcPr>
          <w:p>
            <w:pPr>
              <w:jc w:val="both"/>
              <w:pStyle w:val="CellColumn"/>
            </w:pPr>
            <w:r>
              <w:rPr>
                <w:rFonts w:hAnsi="Times New Roman" w:cs="Times New Roman"/>
              </w:rPr>
              <w:t xml:space="preserve">346.408.239</w:t>
            </w:r>
          </w:p>
        </w:tc>
        <w:tc>
          <w:tcPr>
            <w:tcW w:w="1632.96" w:type="dxa"/>
            <w:vAlign w:val="center"/>
          </w:tcPr>
          <w:p>
            <w:pPr>
              <w:jc w:val="both"/>
              <w:pStyle w:val="CellColumn"/>
            </w:pPr>
            <w:r>
              <w:rPr>
                <w:rFonts w:hAnsi="Times New Roman" w:cs="Times New Roman"/>
              </w:rPr>
              <w:t xml:space="preserve">298.054.703</w:t>
            </w:r>
          </w:p>
        </w:tc>
        <w:tc>
          <w:tcPr>
            <w:tcW w:w="510.3" w:type="dxa"/>
            <w:vAlign w:val="center"/>
          </w:tcPr>
          <w:p>
            <w:pPr>
              <w:jc w:val="both"/>
              <w:pStyle w:val="CellColumn"/>
            </w:pPr>
            <w:r>
              <w:rPr>
                <w:rFonts w:hAnsi="Times New Roman" w:cs="Times New Roman"/>
              </w:rPr>
              <w:t xml:space="preserve">82,7</w:t>
            </w:r>
          </w:p>
        </w:tc>
      </w:tr>
    </w:tbl>
    <w:p>
      <w:pPr>
        <w:jc w:val="left"/>
      </w:pPr>
      <w:r>
        <w:rPr>
          <w:rFonts w:hAnsi="Times New Roman" w:cs="Times New Roman"/>
        </w:rPr>
        <w:t xml:space="preserve"/>
      </w:r>
    </w:p>
    <w:p>
      <w:pPr>
        <w:jc w:val="left"/>
        <w:pStyle w:val="Heading7"/>
      </w:pPr>
      <w:r>
        <w:rPr>
          <w:rFonts w:hAnsi="Times New Roman" w:cs="Times New Roman"/>
        </w:rPr>
        <w:t xml:space="preserve">Cilj 1. Osigurati pružanje kvalitetnije usluge željezničkim korisnicima kroz učinkovito upravljanje željezničkim sektorom</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Povećan (modalni) udio prijevoza tereta željeznicom u odnosu na ostale modalitete prijevoza</w:t>
            </w:r>
          </w:p>
        </w:tc>
        <w:tc>
          <w:tcPr>
            <w:tcW w:w="2245.32" w:type="dxa"/>
            <w:vAlign w:val="center"/>
          </w:tcPr>
          <w:p>
            <w:pPr>
              <w:jc w:val="both"/>
              <w:pStyle w:val="CellColumn"/>
            </w:pPr>
            <w:r>
              <w:rPr>
                <w:rFonts w:hAnsi="Times New Roman" w:cs="Times New Roman"/>
              </w:rPr>
              <w:t xml:space="preserve">Pružanje kvalitetnije usluge željezničkog prijevoza dovest će do povećanja teretnog prijevoza u odnosu na ostale modalitete na području RH</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15,00</w:t>
            </w:r>
          </w:p>
        </w:tc>
        <w:tc>
          <w:tcPr>
            <w:tcW w:w="918.54" w:type="dxa"/>
            <w:vAlign w:val="center"/>
          </w:tcPr>
          <w:p>
            <w:pPr>
              <w:jc w:val="both"/>
              <w:pStyle w:val="CellColumn"/>
            </w:pPr>
            <w:r>
              <w:rPr>
                <w:rFonts w:hAnsi="Times New Roman" w:cs="Times New Roman"/>
              </w:rPr>
              <w:t xml:space="preserve">Državni zavod za statistiku</w:t>
            </w:r>
          </w:p>
        </w:tc>
        <w:tc>
          <w:tcPr>
            <w:tcW w:w="918.54" w:type="dxa"/>
            <w:vAlign w:val="center"/>
          </w:tcPr>
          <w:p>
            <w:pPr>
              <w:jc w:val="both"/>
              <w:pStyle w:val="CellColumn"/>
            </w:pPr>
            <w:r>
              <w:rPr>
                <w:rFonts w:hAnsi="Times New Roman" w:cs="Times New Roman"/>
              </w:rPr>
              <w:t xml:space="preserve">15,50</w:t>
            </w:r>
          </w:p>
        </w:tc>
        <w:tc>
          <w:tcPr>
            <w:tcW w:w="918.54" w:type="dxa"/>
            <w:vAlign w:val="center"/>
          </w:tcPr>
          <w:p>
            <w:pPr>
              <w:jc w:val="both"/>
              <w:pStyle w:val="CellColumn"/>
            </w:pPr>
            <w:r>
              <w:rPr>
                <w:rFonts w:hAnsi="Times New Roman" w:cs="Times New Roman"/>
              </w:rPr>
              <w:t xml:space="preserve">16,00</w:t>
            </w:r>
          </w:p>
        </w:tc>
        <w:tc>
          <w:tcPr>
            <w:tcW w:w="918.54" w:type="dxa"/>
            <w:vAlign w:val="center"/>
          </w:tcPr>
          <w:p>
            <w:pPr>
              <w:jc w:val="both"/>
              <w:pStyle w:val="CellColumn"/>
            </w:pPr>
            <w:r>
              <w:rPr>
                <w:rFonts w:hAnsi="Times New Roman" w:cs="Times New Roman"/>
              </w:rPr>
              <w:t xml:space="preserve">16,00</w:t>
            </w:r>
          </w:p>
        </w:tc>
      </w:tr>
      <w:tr>
        <w:trPr>
          <w:cantSplit/>
        </w:trPr>
        <w:tc>
          <w:tcPr>
            <w:tcW w:w="2245.32" w:type="dxa"/>
            <w:vAlign w:val="center"/>
          </w:tcPr>
          <w:p>
            <w:pPr>
              <w:jc w:val="both"/>
              <w:pStyle w:val="CellColumn"/>
            </w:pPr>
            <w:r>
              <w:rPr>
                <w:rFonts w:hAnsi="Times New Roman" w:cs="Times New Roman"/>
              </w:rPr>
              <w:t xml:space="preserve">Povećan broj putnika u željezničkom prijevozu u odnosu na druge oblike prijevoza</w:t>
            </w:r>
          </w:p>
        </w:tc>
        <w:tc>
          <w:tcPr>
            <w:tcW w:w="2245.32" w:type="dxa"/>
            <w:vAlign w:val="center"/>
          </w:tcPr>
          <w:p>
            <w:pPr>
              <w:jc w:val="both"/>
              <w:pStyle w:val="CellColumn"/>
            </w:pPr>
            <w:r>
              <w:rPr>
                <w:rFonts w:hAnsi="Times New Roman" w:cs="Times New Roman"/>
              </w:rPr>
              <w:t xml:space="preserve">Pružanje kvalitetnije usluge željezničkim korisnicima dovest će do povećanja broja putnika u odnosu na ostale oblike prijevoza na području RH</w:t>
            </w:r>
          </w:p>
        </w:tc>
        <w:tc>
          <w:tcPr>
            <w:tcW w:w="918.54" w:type="dxa"/>
            <w:vAlign w:val="center"/>
          </w:tcPr>
          <w:p>
            <w:pPr>
              <w:jc w:val="both"/>
              <w:pStyle w:val="CellColumn"/>
            </w:pPr>
            <w:r>
              <w:rPr>
                <w:rFonts w:hAnsi="Times New Roman" w:cs="Times New Roman"/>
              </w:rPr>
              <w:t xml:space="preserve">broj (u tisućama)</w:t>
            </w:r>
          </w:p>
        </w:tc>
        <w:tc>
          <w:tcPr>
            <w:tcW w:w="918.54" w:type="dxa"/>
            <w:vAlign w:val="center"/>
          </w:tcPr>
          <w:p>
            <w:pPr>
              <w:jc w:val="both"/>
              <w:pStyle w:val="CellColumn"/>
            </w:pPr>
            <w:r>
              <w:rPr>
                <w:rFonts w:hAnsi="Times New Roman" w:cs="Times New Roman"/>
              </w:rPr>
              <w:t xml:space="preserve">26.100</w:t>
            </w:r>
          </w:p>
        </w:tc>
        <w:tc>
          <w:tcPr>
            <w:tcW w:w="918.54" w:type="dxa"/>
            <w:vAlign w:val="center"/>
          </w:tcPr>
          <w:p>
            <w:pPr>
              <w:jc w:val="both"/>
              <w:pStyle w:val="CellColumn"/>
            </w:pPr>
            <w:r>
              <w:rPr>
                <w:rFonts w:hAnsi="Times New Roman" w:cs="Times New Roman"/>
              </w:rPr>
              <w:t xml:space="preserve">HŽPP</w:t>
            </w:r>
          </w:p>
        </w:tc>
        <w:tc>
          <w:tcPr>
            <w:tcW w:w="918.54" w:type="dxa"/>
            <w:vAlign w:val="center"/>
          </w:tcPr>
          <w:p>
            <w:pPr>
              <w:jc w:val="both"/>
              <w:pStyle w:val="CellColumn"/>
            </w:pPr>
            <w:r>
              <w:rPr>
                <w:rFonts w:hAnsi="Times New Roman" w:cs="Times New Roman"/>
              </w:rPr>
              <w:t xml:space="preserve">27.389</w:t>
            </w:r>
          </w:p>
        </w:tc>
        <w:tc>
          <w:tcPr>
            <w:tcW w:w="918.54" w:type="dxa"/>
            <w:vAlign w:val="center"/>
          </w:tcPr>
          <w:p>
            <w:pPr>
              <w:jc w:val="both"/>
              <w:pStyle w:val="CellColumn"/>
            </w:pPr>
            <w:r>
              <w:rPr>
                <w:rFonts w:hAnsi="Times New Roman" w:cs="Times New Roman"/>
              </w:rPr>
              <w:t xml:space="preserve">29.808</w:t>
            </w:r>
          </w:p>
        </w:tc>
        <w:tc>
          <w:tcPr>
            <w:tcW w:w="918.54" w:type="dxa"/>
            <w:vAlign w:val="center"/>
          </w:tcPr>
          <w:p>
            <w:pPr>
              <w:jc w:val="both"/>
              <w:pStyle w:val="CellColumn"/>
            </w:pPr>
            <w:r>
              <w:rPr>
                <w:rFonts w:hAnsi="Times New Roman" w:cs="Times New Roman"/>
              </w:rPr>
              <w:t xml:space="preserve">32.670</w:t>
            </w:r>
          </w:p>
        </w:tc>
      </w:tr>
    </w:tbl>
    <w:p>
      <w:pPr>
        <w:jc w:val="left"/>
      </w:pPr>
      <w:r>
        <w:rPr>
          <w:rFonts w:hAnsi="Times New Roman" w:cs="Times New Roman"/>
        </w:rPr>
        <w:t xml:space="preserve"/>
      </w:r>
    </w:p>
    <w:p>
      <w:pPr>
        <w:jc w:val="left"/>
        <w:pStyle w:val="Heading4"/>
      </w:pPr>
      <w:r>
        <w:rPr>
          <w:rFonts w:hAnsi="Times New Roman" w:cs="Times New Roman"/>
        </w:rPr>
        <w:t xml:space="preserve">A570334 UPRAVLJANJE, ORGANIZACIJA I REGULACIJA ŽELJEZNIČKOG PROMETA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članak, 19. stavak 1.    
</w:t>
      </w:r>
    </w:p>
    <w:p>
      <w:pPr>
        <w:jc w:val="both"/>
        <w:pStyle w:val="Normal5"/>
      </w:pPr>
      <w:r>
        <w:rPr>
          <w:rFonts w:hAnsi="Times New Roman" w:cs="Times New Roman"/>
        </w:rPr>
        <w:t xml:space="preserve">- Strategija prometnog razvoja Republike Hrvatske (2017. - 2030.)  
</w:t>
      </w:r>
    </w:p>
    <w:p>
      <w:pPr>
        <w:jc w:val="both"/>
        <w:pStyle w:val="Normal5"/>
      </w:pPr>
      <w:r>
        <w:rPr>
          <w:rFonts w:hAnsi="Times New Roman" w:cs="Times New Roman"/>
        </w:rPr>
        <w:t xml:space="preserve">- Višegodišnji ugovor o upravljanju željezničkom infrastrukturom 
</w:t>
      </w:r>
    </w:p>
    <w:p>
      <w:pPr>
        <w:jc w:val="both"/>
        <w:pStyle w:val="Normal5"/>
      </w:pPr>
      <w:r>
        <w:rPr>
          <w:rFonts w:hAnsi="Times New Roman" w:cs="Times New Roman"/>
        </w:rPr>
        <w:t xml:space="preserve">- Ugovor o međusobnim pravima i obvezama u vezi s financiranjem upravljanja željezničkom infrastrukturom u širem smislu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A570334-UPRAVLJANJE, ORGANIZACIJA I REGULACIJA ŽELJEZNIČKOG PROMETA</w:t>
            </w:r>
          </w:p>
        </w:tc>
        <w:tc>
          <w:tcPr>
            <w:tcW w:w="1632.96" w:type="dxa"/>
            <w:vAlign w:val="center"/>
          </w:tcPr>
          <w:p>
            <w:pPr>
              <w:jc w:val="both"/>
              <w:pStyle w:val="CellColumn"/>
            </w:pPr>
            <w:r>
              <w:rPr>
                <w:rFonts w:hAnsi="Times New Roman" w:cs="Times New Roman"/>
              </w:rPr>
              <w:t xml:space="preserve">63.900.000</w:t>
            </w:r>
          </w:p>
        </w:tc>
        <w:tc>
          <w:tcPr>
            <w:tcW w:w="1632.96" w:type="dxa"/>
            <w:vAlign w:val="center"/>
          </w:tcPr>
          <w:p>
            <w:pPr>
              <w:jc w:val="both"/>
              <w:pStyle w:val="CellColumn"/>
            </w:pPr>
            <w:r>
              <w:rPr>
                <w:rFonts w:hAnsi="Times New Roman" w:cs="Times New Roman"/>
              </w:rPr>
              <w:t xml:space="preserve">117.631.759</w:t>
            </w:r>
          </w:p>
        </w:tc>
        <w:tc>
          <w:tcPr>
            <w:tcW w:w="1632.96" w:type="dxa"/>
            <w:vAlign w:val="center"/>
          </w:tcPr>
          <w:p>
            <w:pPr>
              <w:jc w:val="both"/>
              <w:pStyle w:val="CellColumn"/>
            </w:pPr>
            <w:r>
              <w:rPr>
                <w:rFonts w:hAnsi="Times New Roman" w:cs="Times New Roman"/>
              </w:rPr>
              <w:t xml:space="preserve">112.065.300</w:t>
            </w:r>
          </w:p>
        </w:tc>
        <w:tc>
          <w:tcPr>
            <w:tcW w:w="1632.96" w:type="dxa"/>
            <w:vAlign w:val="center"/>
          </w:tcPr>
          <w:p>
            <w:pPr>
              <w:jc w:val="both"/>
              <w:pStyle w:val="CellColumn"/>
            </w:pPr>
            <w:r>
              <w:rPr>
                <w:rFonts w:hAnsi="Times New Roman" w:cs="Times New Roman"/>
              </w:rPr>
              <w:t xml:space="preserve">110.290.000</w:t>
            </w:r>
          </w:p>
        </w:tc>
        <w:tc>
          <w:tcPr>
            <w:tcW w:w="1632.96" w:type="dxa"/>
            <w:vAlign w:val="center"/>
          </w:tcPr>
          <w:p>
            <w:pPr>
              <w:jc w:val="both"/>
              <w:pStyle w:val="CellColumn"/>
            </w:pPr>
            <w:r>
              <w:rPr>
                <w:rFonts w:hAnsi="Times New Roman" w:cs="Times New Roman"/>
              </w:rPr>
              <w:t xml:space="preserve">112.000.000</w:t>
            </w:r>
          </w:p>
        </w:tc>
        <w:tc>
          <w:tcPr>
            <w:tcW w:w="510.3" w:type="dxa"/>
            <w:vAlign w:val="center"/>
          </w:tcPr>
          <w:p>
            <w:pPr>
              <w:jc w:val="both"/>
              <w:pStyle w:val="CellColumn"/>
            </w:pPr>
            <w:r>
              <w:rPr>
                <w:rFonts w:hAnsi="Times New Roman" w:cs="Times New Roman"/>
              </w:rPr>
              <w:t xml:space="preserve">95,3</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i društvo HŽ Infrastruktura d.o.o. za upravljanje, održavanje i izgradnju željezničke infrastrukture sklopili su 10. veljače 2025. godine novi Višegodišnji ugovor o upravljanju željezničkom infrastrukturom s trajanjem do 2032. godine. Ujedno, na godišnjoj razini se  sklapa Ugovor o međusobnim pravima i obvezama u vezi s financiranjem upravljanja željezničkom infrastrukturom u širem smislu kojim se uređuju međusobna prava i obveze u odnosu na realizaciju proračunskih sredstava na godišnjoj razini namijenjenih upravljanju željezničkom infrastrukturom u užem smislu (obuhvaća dodjelu trasa vlakova, upravljanje željezničkim prometom te određivanje i naplatu naknada za željezničke usluge) i tekućem održavanju željezničke infrastrukture.
</w:t>
      </w:r>
    </w:p>
    <w:p>
      <w:pPr>
        <w:jc w:val="both"/>
        <w:pStyle w:val="Normal"/>
      </w:pPr>
      <w:r>
        <w:rPr>
          <w:rFonts w:hAnsi="Times New Roman" w:cs="Times New Roman"/>
        </w:rPr>
        <w:t xml:space="preserve">Na temelju zakonske regulative, planirana su sredstva iz državnog proračuna za podmirenje troškova upravljanja prometom, organizaciju i regulaciju željezničkog prometa te dijela upravljanja društvom HŽ Infrastruktura d.o.o. Planirana sredstva utrošit će se za troškove radnika te ostale troškova upravljanja željezničkom infrastrukturom (troškovi zamjenskog prijevoza putnika autobusima, troškovi pomoćnog vlaka kod izvanrednih događaja, troškovi službene odjeće i obuće, troškovi čišćenja i održavanja poslovnih prostora, troškovi tjelesne zaštite, troškovi sanacije, održavanja i nadzora vodovodne mreže i dr.). Planirani broj zaposlenika za razdoblje 2026.-2028. g. za koje se osiguravaju sredstva s ove aktivnosti je prosječno godišnje 2.880 radnika.
</w:t>
      </w:r>
    </w:p>
    <w:p>
      <w:pPr>
        <w:jc w:val="both"/>
        <w:pStyle w:val="Normal"/>
      </w:pPr>
      <w:r>
        <w:rPr>
          <w:rFonts w:hAnsi="Times New Roman" w:cs="Times New Roman"/>
        </w:rPr>
        <w:t xml:space="preserve">Ova aktivnost provodi se svake godine.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izvršenosti Ugovora</w:t>
            </w:r>
          </w:p>
        </w:tc>
        <w:tc>
          <w:tcPr>
            <w:tcW w:w="2245.32" w:type="dxa"/>
            <w:vAlign w:val="center"/>
          </w:tcPr>
          <w:p>
            <w:pPr>
              <w:jc w:val="both"/>
              <w:pStyle w:val="CellColumn"/>
            </w:pPr>
            <w:r>
              <w:rPr>
                <w:rFonts w:hAnsi="Times New Roman" w:cs="Times New Roman"/>
              </w:rPr>
              <w:t xml:space="preserve">Na temelju zakonske regulative planirana su sredstva iz državnog proračuna za podmirenje troškova upravljanja prometom, organizaciju i regulaciju željezničkog prometa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A570491 UNAPREĐENJE STRUKTURNIH REFORMI ŽELJEZNICE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potvrđivanju protokola od 3. lipnja 1999. godine o izmjenama Konvencije o međunarodnom željezničkom prijevozu (COTIF) od 9. svibnja 1980. godine svojim potpisom pristupila međunarodnoj organizaciji OTIF-u (funkcija Depozitarne uprave COTIF-a)  
</w:t>
      </w:r>
    </w:p>
    <w:p>
      <w:pPr>
        <w:jc w:val="both"/>
        <w:pStyle w:val="Normal5"/>
      </w:pPr>
      <w:r>
        <w:rPr>
          <w:rFonts w:hAnsi="Times New Roman" w:cs="Times New Roman"/>
        </w:rPr>
        <w:t xml:space="preserve">- Zakon o potvrđivanju (ratifikaciji) Fondacijskog ugovora o suradnji "Transeuropske željeznice (TER)"od 28. lipnja 1993. godine, koji je potpisan 21. srpnja 1993. godine  
</w:t>
      </w:r>
    </w:p>
    <w:p>
      <w:pPr>
        <w:jc w:val="both"/>
        <w:pStyle w:val="Normal5"/>
      </w:pPr>
      <w:r>
        <w:rPr>
          <w:rFonts w:hAnsi="Times New Roman" w:cs="Times New Roman"/>
        </w:rPr>
        <w:t xml:space="preserve">- Zakon o sigurnosti i interoperabilnosti željezničkog sustava   
</w:t>
      </w:r>
    </w:p>
    <w:p>
      <w:pPr>
        <w:jc w:val="both"/>
        <w:pStyle w:val="Normal5"/>
      </w:pPr>
      <w:r>
        <w:rPr>
          <w:rFonts w:hAnsi="Times New Roman" w:cs="Times New Roman"/>
        </w:rPr>
        <w:t xml:space="preserve">- Zakon o regulaciji tržišta željezničkih usluga i zaštiti prava putnika u željezničkom prijevozu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usluga željezničkog prijevoza za razdoblje do 2030. godine  
</w:t>
      </w:r>
    </w:p>
    <w:p>
      <w:pPr>
        <w:jc w:val="both"/>
        <w:pStyle w:val="Normal5"/>
      </w:pPr>
      <w:r>
        <w:rPr>
          <w:rFonts w:hAnsi="Times New Roman" w:cs="Times New Roman"/>
        </w:rPr>
        <w:t xml:space="preserve">- Nacionalni plan razvoja željezničke infrastrukture za razdoblje do 2030.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A570491-UNAPREĐENJE STRUKTURNIH REFORMI ŽELJEZNICE</w:t>
            </w:r>
          </w:p>
        </w:tc>
        <w:tc>
          <w:tcPr>
            <w:tcW w:w="1632.96" w:type="dxa"/>
            <w:vAlign w:val="center"/>
          </w:tcPr>
          <w:p>
            <w:pPr>
              <w:jc w:val="both"/>
              <w:pStyle w:val="CellColumn"/>
            </w:pPr>
            <w:r>
              <w:rPr>
                <w:rFonts w:hAnsi="Times New Roman" w:cs="Times New Roman"/>
              </w:rPr>
              <w:t xml:space="preserve">96.581</w:t>
            </w:r>
          </w:p>
        </w:tc>
        <w:tc>
          <w:tcPr>
            <w:tcW w:w="1632.96" w:type="dxa"/>
            <w:vAlign w:val="center"/>
          </w:tcPr>
          <w:p>
            <w:pPr>
              <w:jc w:val="both"/>
              <w:pStyle w:val="CellColumn"/>
            </w:pPr>
            <w:r>
              <w:rPr>
                <w:rFonts w:hAnsi="Times New Roman" w:cs="Times New Roman"/>
              </w:rPr>
              <w:t xml:space="preserve">276.500</w:t>
            </w:r>
          </w:p>
        </w:tc>
        <w:tc>
          <w:tcPr>
            <w:tcW w:w="1632.96" w:type="dxa"/>
            <w:vAlign w:val="center"/>
          </w:tcPr>
          <w:p>
            <w:pPr>
              <w:jc w:val="both"/>
              <w:pStyle w:val="CellColumn"/>
            </w:pPr>
            <w:r>
              <w:rPr>
                <w:rFonts w:hAnsi="Times New Roman" w:cs="Times New Roman"/>
              </w:rPr>
              <w:t xml:space="preserve">276.500</w:t>
            </w:r>
          </w:p>
        </w:tc>
        <w:tc>
          <w:tcPr>
            <w:tcW w:w="1632.96" w:type="dxa"/>
            <w:vAlign w:val="center"/>
          </w:tcPr>
          <w:p>
            <w:pPr>
              <w:jc w:val="both"/>
              <w:pStyle w:val="CellColumn"/>
            </w:pPr>
            <w:r>
              <w:rPr>
                <w:rFonts w:hAnsi="Times New Roman" w:cs="Times New Roman"/>
              </w:rPr>
              <w:t xml:space="preserve">376.500</w:t>
            </w:r>
          </w:p>
        </w:tc>
        <w:tc>
          <w:tcPr>
            <w:tcW w:w="1632.96" w:type="dxa"/>
            <w:vAlign w:val="center"/>
          </w:tcPr>
          <w:p>
            <w:pPr>
              <w:jc w:val="both"/>
              <w:pStyle w:val="CellColumn"/>
            </w:pPr>
            <w:r>
              <w:rPr>
                <w:rFonts w:hAnsi="Times New Roman" w:cs="Times New Roman"/>
              </w:rPr>
              <w:t xml:space="preserve">388.444</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Ova aktivnost provodi se svake godine sa sljedećim podaktivnostima:   
</w:t>
      </w:r>
    </w:p>
    <w:p>
      <w:pPr>
        <w:jc w:val="both"/>
        <w:pStyle w:val="Normal"/>
      </w:pPr>
      <w:r>
        <w:rPr>
          <w:rFonts w:hAnsi="Times New Roman" w:cs="Times New Roman"/>
        </w:rPr>
        <w:t xml:space="preserve">Na ovoj aktivnosti planiraju se sredstva kako slijedi:  
</w:t>
      </w:r>
    </w:p>
    <w:p>
      <w:pPr>
        <w:jc w:val="both"/>
        <w:pStyle w:val="Normal"/>
      </w:pPr>
      <w:r>
        <w:rPr>
          <w:rFonts w:hAnsi="Times New Roman" w:cs="Times New Roman"/>
        </w:rPr>
        <w:t xml:space="preserve">1.	službena putovanja 2026. g.: 10.000 EUR, 2027. g.: 10.000 EUR, 2028. g.: 10.000 EUR   
</w:t>
      </w:r>
    </w:p>
    <w:p>
      <w:pPr>
        <w:jc w:val="both"/>
        <w:pStyle w:val="Normal"/>
      </w:pPr>
      <w:r>
        <w:rPr>
          <w:rFonts w:hAnsi="Times New Roman" w:cs="Times New Roman"/>
        </w:rPr>
        <w:t xml:space="preserve">2.	stručno usavršavanje zaposlenika, u cilju više kvalitete rada Uprave za željezničku infrastrukturu i promet, 2026. g.: 10.000 EUR, 2027. g.: 10.000 EUR, 2028. g.: 10.000 EUR  
</w:t>
      </w:r>
    </w:p>
    <w:p>
      <w:pPr>
        <w:jc w:val="both"/>
        <w:pStyle w:val="Normal"/>
      </w:pPr>
      <w:r>
        <w:rPr>
          <w:rFonts w:hAnsi="Times New Roman" w:cs="Times New Roman"/>
        </w:rPr>
        <w:t xml:space="preserve">3.	usluge promidžbe i informiranja - nabava usluga u vezi s održavanjem konferencija, stručnih skupova i konferencija s ciljem informiranja javnosti o provedbi i značaju EIB projekta „Projekt revitalizacije željezničkog sektora u Republici Hrvatskoj“ (vidljivost projekta u godišnjim iznosima do 13.000 EUR)
</w:t>
      </w:r>
    </w:p>
    <w:p>
      <w:pPr>
        <w:jc w:val="both"/>
        <w:pStyle w:val="Normal"/>
      </w:pPr>
      <w:r>
        <w:rPr>
          <w:rFonts w:hAnsi="Times New Roman" w:cs="Times New Roman"/>
        </w:rPr>
        <w:t xml:space="preserve">4.	intelektualne i osobne usluge - troškovi usluga eksperata u području državnih potpora, revizorske i stručne savjetodavne usluge u provedbi složenih postupaka rješavanja imovinsko pravnih odnosa između Republike Hrvatske i željezničkih društava, usluge stručne podrške i savjetovanja u vezi s državnim potporama (poticajima) željezničkim prijevoznicima,  usluge savjetovanja u postupku izrade metodologije za poticaja za željeznički prijevoz, usluge revizije u provedbi javne usluge prijevoza od općeg gospodarskog interesa (PSO) - Ugovor o javnim uslugama od općeg gospodarskog značenja - PSO ugovor  (HŽPP o javnim uslugama za usluge od općeg gospodarskog interesa u javnom željezničkom prijevozu u Republici Hrvatskoj između Republike Hrvatske, Ministarstva mora, prometa i infrastrukture i društva HŽ Putnički prijevoz d.o.o. za prijevoz putnika za razdoblje od 01. siječnja 2019. godine do 31. prosinca 2028. godine), troškovi prevođenja s engleskog na hrvatski i hrvatskog na engleski u postupku sklapanja Ugovora o financiranju s Europskom investicijskom bankom, ugovori o djelu (VSS i SSS) i studentski ugovori;  2026. g.: 200.000 EUR, 2027. g.: 300.000 EUR, 2028. g.: 300.000 EUR  
</w:t>
      </w:r>
    </w:p>
    <w:p>
      <w:pPr>
        <w:jc w:val="both"/>
        <w:pStyle w:val="Normal"/>
      </w:pPr>
      <w:r>
        <w:rPr>
          <w:rFonts w:hAnsi="Times New Roman" w:cs="Times New Roman"/>
        </w:rPr>
        <w:t xml:space="preserve">5.	reprezentacija - vezano za organizaciju konferencija; 2026. g.: 6.500 EUR, 2027. g.: 6.500 EUR, 2028. g.: 6.500 EUR   
</w:t>
      </w:r>
    </w:p>
    <w:p>
      <w:pPr>
        <w:jc w:val="both"/>
        <w:pStyle w:val="Normal"/>
      </w:pPr>
      <w:r>
        <w:rPr>
          <w:rFonts w:hAnsi="Times New Roman" w:cs="Times New Roman"/>
        </w:rPr>
        <w:t xml:space="preserve">6.	članarine i norme - Republika Hrvatska je na temelju Odluke i Zakona o potvrđivanju Protokola od 3. lipnja 1999. godine o izmjenama Konvencije o međunarodnom željezničkom prijevozu (COTIF) od 6. svibnja 1980. godine svojim potpisom pristupila međunarodnoj organizaciji OTIF-u (funkcija Depozitarne uprave COTIF-a). Sukladno članku 26. „Financiranje troškova“ Konvencije o međunarodnom željezničkom prijevozu (COTIF) od 9. svibnja 1980. godine u verziji Protokola o izmjenama od 3. lipnja 1999. godine kao država članica preuzela je prava i obveze te je dužna plaćati doprinos troškova organizacije.   
</w:t>
      </w:r>
    </w:p>
    <w:p>
      <w:pPr>
        <w:jc w:val="both"/>
        <w:pStyle w:val="Normal"/>
      </w:pPr>
      <w:r>
        <w:rPr>
          <w:rFonts w:hAnsi="Times New Roman" w:cs="Times New Roman"/>
        </w:rPr>
        <w:t xml:space="preserve">Osim navedenoga, na temelju Sporazuma sklopljenog između Republike Hrvatske i zemalja članica tj. Republika Hrvatska za Trans European Railway (TER) plaća godišnju članarinu u iznosu 10.000 USD.  
</w:t>
      </w:r>
    </w:p>
    <w:p>
      <w:pPr>
        <w:jc w:val="both"/>
        <w:pStyle w:val="Normal"/>
      </w:pPr>
      <w:r>
        <w:rPr>
          <w:rFonts w:hAnsi="Times New Roman" w:cs="Times New Roman"/>
        </w:rPr>
        <w:t xml:space="preserve">Za članarine i norme planiraju se sredstva kako slijedi:  2026. g.: 37.000 EUR, 2027. g.: 37.000 EUR, 2028. g.: 48.944 EUR</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sklopljenih ugovora u svrhu unapređenja strukturnih reformi željeznica</w:t>
            </w:r>
          </w:p>
        </w:tc>
        <w:tc>
          <w:tcPr>
            <w:tcW w:w="2245.32" w:type="dxa"/>
            <w:vAlign w:val="center"/>
          </w:tcPr>
          <w:p>
            <w:pPr>
              <w:jc w:val="both"/>
              <w:pStyle w:val="CellColumn"/>
            </w:pPr>
            <w:r>
              <w:rPr>
                <w:rFonts w:hAnsi="Times New Roman" w:cs="Times New Roman"/>
              </w:rPr>
              <w:t xml:space="preserve">Sklapanje ugovora pridonijeti će unapređenju željezničkog sektora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A587082 IZUZETO JAVNO DOBRO</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podjeli trgovačkog društva HŽ-Hrvatske željeznice d.o.o.
</w:t>
      </w:r>
    </w:p>
    <w:p>
      <w:pPr>
        <w:jc w:val="both"/>
        <w:pStyle w:val="Normal5"/>
      </w:pPr>
      <w:r>
        <w:rPr>
          <w:rFonts w:hAnsi="Times New Roman" w:cs="Times New Roman"/>
        </w:rPr>
        <w:t xml:space="preserve">- Odluka Vlade Republike Hrvatske o podjeli trgovačkog društva HŽ-Hrvatske željeznice d.o.o. od 6. srpnja 2006. godine, točka II.
</w:t>
      </w:r>
    </w:p>
    <w:p>
      <w:pPr>
        <w:jc w:val="both"/>
        <w:pStyle w:val="Normal5"/>
      </w:pPr>
      <w:r>
        <w:rPr>
          <w:rFonts w:hAnsi="Times New Roman" w:cs="Times New Roman"/>
        </w:rPr>
        <w:t xml:space="preserve">- Plan podjele trgovačkog društva HŽ-Hrvatske željeznice d.o.o., točka 1.4.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A587082-IZUZETO JAVNO DOBRO</w:t>
            </w:r>
          </w:p>
        </w:tc>
        <w:tc>
          <w:tcPr>
            <w:tcW w:w="1632.96" w:type="dxa"/>
            <w:vAlign w:val="center"/>
          </w:tcPr>
          <w:p>
            <w:pPr>
              <w:jc w:val="both"/>
              <w:pStyle w:val="CellColumn"/>
            </w:pPr>
            <w:r>
              <w:rPr>
                <w:rFonts w:hAnsi="Times New Roman" w:cs="Times New Roman"/>
              </w:rPr>
              <w:t xml:space="preserve">10.617.825</w:t>
            </w:r>
          </w:p>
        </w:tc>
        <w:tc>
          <w:tcPr>
            <w:tcW w:w="1632.96" w:type="dxa"/>
            <w:vAlign w:val="center"/>
          </w:tcPr>
          <w:p>
            <w:pPr>
              <w:jc w:val="both"/>
              <w:pStyle w:val="CellColumn"/>
            </w:pPr>
            <w:r>
              <w:rPr>
                <w:rFonts w:hAnsi="Times New Roman" w:cs="Times New Roman"/>
              </w:rPr>
              <w:t xml:space="preserve">63.785.940</w:t>
            </w:r>
          </w:p>
        </w:tc>
        <w:tc>
          <w:tcPr>
            <w:tcW w:w="1632.96" w:type="dxa"/>
            <w:vAlign w:val="center"/>
          </w:tcPr>
          <w:p>
            <w:pPr>
              <w:jc w:val="both"/>
              <w:pStyle w:val="CellColumn"/>
            </w:pPr>
            <w:r>
              <w:rPr>
                <w:rFonts w:hAnsi="Times New Roman" w:cs="Times New Roman"/>
              </w:rPr>
              <w:t xml:space="preserve">24.032.447</w:t>
            </w:r>
          </w:p>
        </w:tc>
        <w:tc>
          <w:tcPr>
            <w:tcW w:w="1632.96" w:type="dxa"/>
            <w:vAlign w:val="center"/>
          </w:tcPr>
          <w:p>
            <w:pPr>
              <w:jc w:val="both"/>
              <w:pStyle w:val="CellColumn"/>
            </w:pPr>
            <w:r>
              <w:rPr>
                <w:rFonts w:hAnsi="Times New Roman" w:cs="Times New Roman"/>
              </w:rPr>
              <w:t xml:space="preserve">10.844.378</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37,7</w:t>
            </w:r>
          </w:p>
        </w:tc>
      </w:tr>
    </w:tbl>
    <w:p>
      <w:pPr>
        <w:jc w:val="left"/>
      </w:pPr>
      <w:r>
        <w:rPr>
          <w:rFonts w:hAnsi="Times New Roman" w:cs="Times New Roman"/>
        </w:rPr>
        <w:t xml:space="preserve"/>
      </w:r>
    </w:p>
    <w:p>
      <w:pPr>
        <w:jc w:val="both"/>
        <w:pStyle w:val="Normal"/>
      </w:pPr>
      <w:r>
        <w:rPr>
          <w:rFonts w:hAnsi="Times New Roman" w:cs="Times New Roman"/>
        </w:rPr>
        <w:t xml:space="preserve">Između Republike Hrvatske i društva HŽ CARGO d.o.o. sklopljena je Nagodba, koja se temelji na članku 2. stavku 2. Zakona o podjeli trgovačkog društva HŽ - HRVATSKE ŽELJEZNICE d.o.o., točki II. Odluke Vlade Republike Hrvatske o podjeli trgovačkog društva HŽ - HRVATSKE ŽELJEZNICE d.o.o. od 6. srpnja 2006. godine te točki 1.4. Plana podjele trgovačkog društva HŽ - HRVATSKE ŽELJEZNICE d.o.o. Zagreb s namjerom da se društvu HŽ CARGO d.o.o. namiri manje preneseni temeljni kapital na ime ulaganja u javno dobro (kao nadoknada uloženih vlastitih sredstava iz temeljnog kapitala), a na što društvo HŽ CARGO d.o.o. ima pravo kao pravni sljednik društva HŽ - Hrvatske željeznice d.o.o.. Donošenjem spomenute Nagodbe, Ministarstvo mora, prometa i infrastrukture u ime  Republike Hrvatske obvezalo se u razdoblju od 2022. do 2027. godine namiriti potraživanje društva HŽ CARGO d.o.o. za manje preneseni temeljni kapital na ime ulaganja u javno dobro u ukupnom iznosu od  67.863.604,58 EUR. Na temelju toga će se sa ove stavke u razdoblju od 2025. godine do 2027. godine financirati preuzimanje potraživanja, odnosno dospjele obveze društva HŽ CARGO d.o.o., a što se odnosi na dug društva HŽ CARGO d.o.o. prema društvu HŽ Infrastruktura d.o.o.. i to kako slijedi: do 31. siječnja 2026. godine 10.617.824,67 EUR te do 31. siječnja 2027. godine iznos od 10.844.377,15 EUR, pri čemu plaćanje u 2027. godini predstavlja zadnju ratu koja proizlazi iz spomenute Nagodbe između Republike Hrvatske i društva HŽ Cargo d.o.o.
</w:t>
      </w:r>
    </w:p>
    <w:p>
      <w:pPr>
        <w:jc w:val="both"/>
        <w:pStyle w:val="Normal"/>
      </w:pPr>
      <w:r>
        <w:rPr>
          <w:rFonts w:hAnsi="Times New Roman" w:cs="Times New Roman"/>
        </w:rPr>
        <w:t xml:space="preserve">Nadalje, uvažavajući činjenicu da je na istoj pravnoj osnovi sklopljena i Nagodba između Republike Hrvatske i društva HŽ Infrastruktura d.o.o. dana 7. siječnja 2025. godine, društvu HŽ Infrastruktura d.o.o. je tijekom 2025. godine isplaćen iznos u visini 25.000.000,00 eura po osnovi namire manje prenesenog temeljnog kapitala na ime ulaganja u javno dobro, dok je u skladu s odredbama Nagodbe utvrđeno da se iznos od 13.414.622,31 eura ima isplatiti u 2026. godini. Isplata po Nagodbi između Republike Hrvatske i HŽ Infrastrukture d.o.o. biti će evidentirana kao povećanje udjela u glavnici trgovačkih društava u javnom sektoru.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Isplaćena sredstva društvu HŽ INFRASTRUKTURA d.o.o. na ime Nagodbe između RH i društva HŽ CARGO d.o.o.</w:t>
            </w:r>
          </w:p>
        </w:tc>
        <w:tc>
          <w:tcPr>
            <w:tcW w:w="2245.32" w:type="dxa"/>
            <w:vAlign w:val="center"/>
          </w:tcPr>
          <w:p>
            <w:pPr>
              <w:jc w:val="both"/>
              <w:pStyle w:val="CellColumn"/>
            </w:pPr>
            <w:r>
              <w:rPr>
                <w:rFonts w:hAnsi="Times New Roman" w:cs="Times New Roman"/>
              </w:rPr>
              <w:t xml:space="preserve">Udio isplaćenih sredstava u odnosu na ukupan iznos preuzetog potraživanja od strane RH, a vezano za dug društva HŽ CARGO d.o.o. prema društvu HŽ INFRASTRUKTURA d.o.o. na temelju Nagodbe, a koje plaća MMPI</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19,92</w:t>
            </w:r>
          </w:p>
        </w:tc>
        <w:tc>
          <w:tcPr>
            <w:tcW w:w="918.54" w:type="dxa"/>
            <w:vAlign w:val="center"/>
          </w:tcPr>
          <w:p>
            <w:pPr>
              <w:jc w:val="both"/>
              <w:pStyle w:val="CellColumn"/>
            </w:pPr>
            <w:r>
              <w:rPr>
                <w:rFonts w:hAnsi="Times New Roman" w:cs="Times New Roman"/>
              </w:rPr>
              <w:t xml:space="preserve">20,34</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A754064 POTICAJI U KOMBINIRANOM PRIJEVOZU TERETA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kombiniranom prijevozu tereta
</w:t>
      </w:r>
    </w:p>
    <w:p>
      <w:pPr>
        <w:jc w:val="both"/>
        <w:pStyle w:val="Normal5"/>
      </w:pPr>
      <w:r>
        <w:rPr>
          <w:rFonts w:hAnsi="Times New Roman" w:cs="Times New Roman"/>
        </w:rPr>
        <w:t xml:space="preserve">- Pravilnik o poticajima u kombiniranom prijevozu tereta, članak 4. i 5.
</w:t>
      </w:r>
    </w:p>
    <w:p>
      <w:pPr>
        <w:jc w:val="both"/>
        <w:pStyle w:val="Normal5"/>
      </w:pPr>
      <w:r>
        <w:rPr>
          <w:rFonts w:hAnsi="Times New Roman" w:cs="Times New Roman"/>
        </w:rPr>
        <w:t xml:space="preserve">- Zakon o državnim potporama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A754064-POTICAJI U KOMBINIRANOM PRIJEVOZU TERETA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20.000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100.000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Provedba ove aktivnosti započela je 2018. godine, a suglasnost Europske komisije za njenu provedbu je trajala do 2024. godine. Na temelju odredbi Zakona o kombiniranom prijevozu tereta i Pravilnika o poticajima u kombiniranom prijevozu tereta uz suglasnost Europske komisije (6. studenog 2017. godine) i Odluke Europske komisije od 5. veljače 2018. godine, Ministarstvo mora, prometa i infrastrukture daje poticaje društvima koja pružaju usluge kombiniranog prijevoza tereta te željezničkim poduzetnicima kako bi promicali ekološku prihvatljiviju vrstu prijevoza. 
</w:t>
      </w:r>
    </w:p>
    <w:p>
      <w:pPr>
        <w:jc w:val="both"/>
        <w:pStyle w:val="Normal"/>
      </w:pPr>
      <w:r>
        <w:rPr>
          <w:rFonts w:hAnsi="Times New Roman" w:cs="Times New Roman"/>
        </w:rPr>
        <w:t xml:space="preserve">Tijekom 2024. godine provodila se rasprava na radnom skupinama Europskog vijeća u vezi s Prijedlogom direktive europskog parlamenta i vijeća o izmjeni Direktive Vijeća 92/106/EEZ u pogledu okvira potpore za intermodalni prijevoz robe i Uredbe (EU) 2020/1056 Europskog parlamenta i Vijeća u pogledu izračuna ušteda vanjskih troškova i generiranja objedinjenih podataka kojim se mijenjaju određene odredbe Direktive Vijeća 92/106/EEZ od 7. prosinca 1992. o utvrđivanju zajedničkih pravila za određene vrste kombiniranog prijevoza robe između država članica, a u svezi uvjeta za ostvarenje poticaja. Dana 21. listopada 2025. godine Europska komisija objavila je dokument „Program rada Komisije za 2026.“ kojim je objavila da Komisija planira povući navedeni Prijedlog.  Također, u tijeku su i izmjene Smjernica Komisije o državnim potporama za željeznička poduzeća.
</w:t>
      </w:r>
    </w:p>
    <w:p>
      <w:pPr>
        <w:jc w:val="both"/>
        <w:pStyle w:val="Normal"/>
      </w:pPr>
      <w:r>
        <w:rPr>
          <w:rFonts w:hAnsi="Times New Roman" w:cs="Times New Roman"/>
        </w:rPr>
        <w:t xml:space="preserve">Nakon donošenja novih Smjernica Komisije o državnim potpora za željeznička poduzeća, Republika Hrvatska može započeti proces usklađivanja nacionalnog zakonodavstva sa zakonodavstvom EU-a. Sukladno trenutnom tekstu Smjernica Komisije o državnim potporama za željeznička poduzeća, države članice za određene potpore više neće morati tražiti prethodno odobrenje EK za određene državne potpore. 
</w:t>
      </w:r>
    </w:p>
    <w:p>
      <w:pPr>
        <w:jc w:val="both"/>
        <w:pStyle w:val="Normal"/>
      </w:pPr>
      <w:r>
        <w:rPr>
          <w:rFonts w:hAnsi="Times New Roman" w:cs="Times New Roman"/>
        </w:rPr>
        <w:t xml:space="preserve">Na ovoj aktivnosti ne planiraju se financijska sredstva u 2026. godini dok se iznosi za 2027. i 2028. godinu odnose na iznose za isplatu poticaja za kombinirani promet.</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Udio isplaćene potpore u ukupno planiranom iznosu</w:t>
            </w:r>
          </w:p>
        </w:tc>
        <w:tc>
          <w:tcPr>
            <w:tcW w:w="2245.32" w:type="dxa"/>
            <w:vAlign w:val="center"/>
          </w:tcPr>
          <w:p>
            <w:pPr>
              <w:jc w:val="both"/>
              <w:pStyle w:val="CellColumn"/>
            </w:pPr>
            <w:r>
              <w:rPr>
                <w:rFonts w:hAnsi="Times New Roman" w:cs="Times New Roman"/>
              </w:rPr>
              <w:t xml:space="preserve">Udio isplaćenih sredstava u odnosu na ukupan iznos planirane potpore za navedenu namjenu od strane Republike Hrvatske</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A754066 SUFINANCIRANJE IZDAVANJA LICENCIJA INŽENJERIMA TEHNOLOGIJE PROMETA I TRANSPORTA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Hrvatskoj komori inženjera tehnologije prometa i transporta, članak 29., stavak 1. i 2. 
</w:t>
      </w:r>
    </w:p>
    <w:p>
      <w:pPr>
        <w:jc w:val="both"/>
        <w:pStyle w:val="Normal5"/>
      </w:pPr>
      <w:r>
        <w:rPr>
          <w:rFonts w:hAnsi="Times New Roman" w:cs="Times New Roman"/>
        </w:rPr>
        <w:t xml:space="preserve">- Zakon o proračunu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A754066-SUFINANCIRANJE IZDAVANJA LICENCIJA INŽENJERIMA TEHNOLOGIJE PROMETA I TRANSPORTA</w:t>
            </w:r>
          </w:p>
        </w:tc>
        <w:tc>
          <w:tcPr>
            <w:tcW w:w="1632.96" w:type="dxa"/>
            <w:vAlign w:val="center"/>
          </w:tcPr>
          <w:p>
            <w:pPr>
              <w:jc w:val="both"/>
              <w:pStyle w:val="CellColumn"/>
            </w:pPr>
            <w:r>
              <w:rPr>
                <w:rFonts w:hAnsi="Times New Roman" w:cs="Times New Roman"/>
              </w:rPr>
              <w:t xml:space="preserve">28.000</w:t>
            </w:r>
          </w:p>
        </w:tc>
        <w:tc>
          <w:tcPr>
            <w:tcW w:w="1632.96" w:type="dxa"/>
            <w:vAlign w:val="center"/>
          </w:tcPr>
          <w:p>
            <w:pPr>
              <w:jc w:val="both"/>
              <w:pStyle w:val="CellColumn"/>
            </w:pPr>
            <w:r>
              <w:rPr>
                <w:rFonts w:hAnsi="Times New Roman" w:cs="Times New Roman"/>
              </w:rPr>
              <w:t xml:space="preserve">28.000</w:t>
            </w:r>
          </w:p>
        </w:tc>
        <w:tc>
          <w:tcPr>
            <w:tcW w:w="1632.96" w:type="dxa"/>
            <w:vAlign w:val="center"/>
          </w:tcPr>
          <w:p>
            <w:pPr>
              <w:jc w:val="both"/>
              <w:pStyle w:val="CellColumn"/>
            </w:pPr>
            <w:r>
              <w:rPr>
                <w:rFonts w:hAnsi="Times New Roman" w:cs="Times New Roman"/>
              </w:rPr>
              <w:t xml:space="preserve">28.000</w:t>
            </w:r>
          </w:p>
        </w:tc>
        <w:tc>
          <w:tcPr>
            <w:tcW w:w="1632.96" w:type="dxa"/>
            <w:vAlign w:val="center"/>
          </w:tcPr>
          <w:p>
            <w:pPr>
              <w:jc w:val="both"/>
              <w:pStyle w:val="CellColumn"/>
            </w:pPr>
            <w:r>
              <w:rPr>
                <w:rFonts w:hAnsi="Times New Roman" w:cs="Times New Roman"/>
              </w:rPr>
              <w:t xml:space="preserve">28.000</w:t>
            </w:r>
          </w:p>
        </w:tc>
        <w:tc>
          <w:tcPr>
            <w:tcW w:w="1632.96" w:type="dxa"/>
            <w:vAlign w:val="center"/>
          </w:tcPr>
          <w:p>
            <w:pPr>
              <w:jc w:val="both"/>
              <w:pStyle w:val="CellColumn"/>
            </w:pPr>
            <w:r>
              <w:rPr>
                <w:rFonts w:hAnsi="Times New Roman" w:cs="Times New Roman"/>
              </w:rPr>
              <w:t xml:space="preserve">28.000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Provedba ove aktivnosti započela je u 2019. godini. Na temelju članka 29., stavak 1. i 2. Zakona o Hrvatskoj komori inženjera tehnologije prometa i transporta dodjeljuju se sredstva iz državnog proračuna Republike Hrvatske Hrvatskoj komori inženjera tehnologije prometa i transporta za izvršavanje poslova koje Komora obavlja kao pravna osoba s javnim ovlastima. U izradi je izmjena Zakona o Hrvatskoj komori inženjera tehnologije prometa i transporta i Pravilnika o stručnim ispitima inženjera tehnologije prometa i transporta.  
</w:t>
      </w:r>
    </w:p>
    <w:p>
      <w:pPr>
        <w:jc w:val="both"/>
        <w:pStyle w:val="Normal"/>
      </w:pPr>
      <w:r>
        <w:rPr>
          <w:rFonts w:hAnsi="Times New Roman" w:cs="Times New Roman"/>
        </w:rPr>
        <w:t xml:space="preserve">U budućem razdoblju se planira sufinanciranje dijela troškova poslova Komore iz državnog proračuna.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izdanih ovlaštenja</w:t>
            </w:r>
          </w:p>
        </w:tc>
        <w:tc>
          <w:tcPr>
            <w:tcW w:w="2245.32" w:type="dxa"/>
            <w:vAlign w:val="center"/>
          </w:tcPr>
          <w:p>
            <w:pPr>
              <w:jc w:val="both"/>
              <w:pStyle w:val="CellColumn"/>
            </w:pPr>
            <w:r>
              <w:rPr>
                <w:rFonts w:hAnsi="Times New Roman" w:cs="Times New Roman"/>
              </w:rPr>
              <w:t xml:space="preserve">Na temelju Zakona o Hrvatskoj komori inženjera tehnologije prometa i transporta isplaćuju se novčana sredstva za izdana ovlaštenja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25</w:t>
            </w:r>
          </w:p>
        </w:tc>
        <w:tc>
          <w:tcPr>
            <w:tcW w:w="918.54" w:type="dxa"/>
            <w:vAlign w:val="center"/>
          </w:tcPr>
          <w:p>
            <w:pPr>
              <w:jc w:val="both"/>
              <w:pStyle w:val="CellColumn"/>
            </w:pPr>
            <w:r>
              <w:rPr>
                <w:rFonts w:hAnsi="Times New Roman" w:cs="Times New Roman"/>
              </w:rPr>
              <w:t xml:space="preserve">Hrvatska komora inženjera i tehnologije prometa i transporta</w:t>
            </w:r>
          </w:p>
        </w:tc>
        <w:tc>
          <w:tcPr>
            <w:tcW w:w="918.54" w:type="dxa"/>
            <w:vAlign w:val="center"/>
          </w:tcPr>
          <w:p>
            <w:pPr>
              <w:jc w:val="both"/>
              <w:pStyle w:val="CellColumn"/>
            </w:pPr>
            <w:r>
              <w:rPr>
                <w:rFonts w:hAnsi="Times New Roman" w:cs="Times New Roman"/>
              </w:rPr>
              <w:t xml:space="preserve">25</w:t>
            </w:r>
          </w:p>
        </w:tc>
        <w:tc>
          <w:tcPr>
            <w:tcW w:w="918.54" w:type="dxa"/>
            <w:vAlign w:val="center"/>
          </w:tcPr>
          <w:p>
            <w:pPr>
              <w:jc w:val="both"/>
              <w:pStyle w:val="CellColumn"/>
            </w:pPr>
            <w:r>
              <w:rPr>
                <w:rFonts w:hAnsi="Times New Roman" w:cs="Times New Roman"/>
              </w:rPr>
              <w:t xml:space="preserve">25</w:t>
            </w:r>
          </w:p>
        </w:tc>
        <w:tc>
          <w:tcPr>
            <w:tcW w:w="918.54" w:type="dxa"/>
            <w:vAlign w:val="center"/>
          </w:tcPr>
          <w:p>
            <w:pPr>
              <w:jc w:val="both"/>
              <w:pStyle w:val="CellColumn"/>
            </w:pPr>
            <w:r>
              <w:rPr>
                <w:rFonts w:hAnsi="Times New Roman" w:cs="Times New Roman"/>
              </w:rPr>
              <w:t xml:space="preserve">25</w:t>
            </w:r>
          </w:p>
        </w:tc>
      </w:tr>
    </w:tbl>
    <w:p>
      <w:pPr>
        <w:jc w:val="left"/>
      </w:pPr>
      <w:r>
        <w:rPr>
          <w:rFonts w:hAnsi="Times New Roman" w:cs="Times New Roman"/>
        </w:rPr>
        <w:t xml:space="preserve"/>
      </w:r>
    </w:p>
    <w:p>
      <w:pPr>
        <w:jc w:val="left"/>
        <w:pStyle w:val="Heading4"/>
      </w:pPr>
      <w:r>
        <w:rPr>
          <w:rFonts w:hAnsi="Times New Roman" w:cs="Times New Roman"/>
        </w:rPr>
        <w:t xml:space="preserve">A761011 POTICANJE ŽELJEZNIČKOG PUTNIČKOG PRIJEVOZA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w:t>
      </w:r>
    </w:p>
    <w:p>
      <w:pPr>
        <w:jc w:val="both"/>
        <w:pStyle w:val="Normal5"/>
      </w:pPr>
      <w:r>
        <w:rPr>
          <w:rFonts w:hAnsi="Times New Roman" w:cs="Times New Roman"/>
        </w:rPr>
        <w:t xml:space="preserve">- Zakon o sigurnosti i interoperabilnosti željezničkog sustava  
</w:t>
      </w:r>
    </w:p>
    <w:p>
      <w:pPr>
        <w:jc w:val="both"/>
        <w:pStyle w:val="Normal5"/>
      </w:pPr>
      <w:r>
        <w:rPr>
          <w:rFonts w:hAnsi="Times New Roman" w:cs="Times New Roman"/>
        </w:rPr>
        <w:t xml:space="preserve">- Zakon o regulaciji tržišta željezničkih usluga i zaštiti prava putnika u željezničkom prijevozu  
</w:t>
      </w:r>
    </w:p>
    <w:p>
      <w:pPr>
        <w:jc w:val="both"/>
        <w:pStyle w:val="Normal5"/>
      </w:pPr>
      <w:r>
        <w:rPr>
          <w:rFonts w:hAnsi="Times New Roman" w:cs="Times New Roman"/>
        </w:rPr>
        <w:t xml:space="preserve">- Zakon o državnim potporama  
</w:t>
      </w:r>
    </w:p>
    <w:p>
      <w:pPr>
        <w:jc w:val="both"/>
        <w:pStyle w:val="Normal5"/>
      </w:pPr>
      <w:r>
        <w:rPr>
          <w:rFonts w:hAnsi="Times New Roman" w:cs="Times New Roman"/>
        </w:rPr>
        <w:t xml:space="preserve">- Zakon o proračunu  
</w:t>
      </w:r>
    </w:p>
    <w:p>
      <w:pPr>
        <w:jc w:val="both"/>
        <w:pStyle w:val="Normal5"/>
      </w:pPr>
      <w:r>
        <w:rPr>
          <w:rFonts w:hAnsi="Times New Roman" w:cs="Times New Roman"/>
        </w:rPr>
        <w:t xml:space="preserve">- Uredba (EZ) br. 1370/2007 o uslugama javnog željezničkog i cestovnog prijevoza    
</w:t>
      </w:r>
    </w:p>
    <w:p>
      <w:pPr>
        <w:jc w:val="both"/>
        <w:pStyle w:val="Normal5"/>
      </w:pPr>
      <w:r>
        <w:rPr>
          <w:rFonts w:hAnsi="Times New Roman" w:cs="Times New Roman"/>
        </w:rPr>
        <w:t xml:space="preserve">- Uredba (EU) 2016/2338 Europskog parlamenta i Vijeća od 14. prosinca 2016. godine o izmjeni Uredbe (EZ) br. 1370/2007 u pogledu otvaranja tržišta za usluge domaćeg željezničkog prijevoza putnika (Tekst značajan za EGP ) (SL L 354, 23.12.2016.)   
</w:t>
      </w:r>
    </w:p>
    <w:p>
      <w:pPr>
        <w:jc w:val="both"/>
        <w:pStyle w:val="Normal5"/>
      </w:pPr>
      <w:r>
        <w:rPr>
          <w:rFonts w:hAnsi="Times New Roman" w:cs="Times New Roman"/>
        </w:rPr>
        <w:t xml:space="preserve">- Odluka Vlade Republike Hrvatske (sjednica održana 13. prosinca 2018. g.) o davanju suglasnosti Ministarstvu mora, prometa i infrastrukture za preuzimanje obveza na teret sredstava državnog proračuna Republike Hrvatske za razdoblje od 2019. do 2028. godine, za sklapanje ugovora s društvom HŽ PUTNIČKI PRIJEVOZ d.o.o. za prijevoz putnika, o javnim uslugama za usluge od općeg gospodarskog interesa u javnom željezničkom prijevozu u Republici Hrvatskoj za razdoblje od 01. siječnja 2019. do 31. prosinca 2028. godine  
</w:t>
      </w:r>
    </w:p>
    <w:p>
      <w:pPr>
        <w:jc w:val="both"/>
        <w:pStyle w:val="Normal5"/>
      </w:pPr>
      <w:r>
        <w:rPr>
          <w:rFonts w:hAnsi="Times New Roman" w:cs="Times New Roman"/>
        </w:rPr>
        <w:t xml:space="preserve">- Ugovor br. 1/2019/DP-HŽPP o javnim uslugama za usluge od općeg gospodarskog interesa u javnom željezničkom prijevozu u Republici Hrvatskoj za razdoblje od 01. siječnja 2019. do 31. prosinca 2028. godine
</w:t>
      </w:r>
    </w:p>
    <w:p>
      <w:pPr>
        <w:jc w:val="both"/>
        <w:pStyle w:val="Normal5"/>
      </w:pPr>
      <w:r>
        <w:rPr>
          <w:rFonts w:hAnsi="Times New Roman" w:cs="Times New Roman"/>
        </w:rPr>
        <w:t xml:space="preserve">- Ugovor o financiranju između Republike Hrvatske i Europske investicijske banke za Projekt „Revitalizacija željezničkog sustava Republike Hrvatske“ iz okvirnog zajma Broj Ugovora (FI br.) 95.797, Operativni broj (Serapis br.) 2022-0660 od 22. siječnja 2024.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A761011-POTICANJE ŽELJEZNIČKOG PUTNIČKOG PRIJEVOZA</w:t>
            </w:r>
          </w:p>
        </w:tc>
        <w:tc>
          <w:tcPr>
            <w:tcW w:w="1632.96" w:type="dxa"/>
            <w:vAlign w:val="center"/>
          </w:tcPr>
          <w:p>
            <w:pPr>
              <w:jc w:val="both"/>
              <w:pStyle w:val="CellColumn"/>
            </w:pPr>
            <w:r>
              <w:rPr>
                <w:rFonts w:hAnsi="Times New Roman" w:cs="Times New Roman"/>
              </w:rPr>
              <w:t xml:space="preserve">115.224.570</w:t>
            </w:r>
          </w:p>
        </w:tc>
        <w:tc>
          <w:tcPr>
            <w:tcW w:w="1632.96" w:type="dxa"/>
            <w:vAlign w:val="center"/>
          </w:tcPr>
          <w:p>
            <w:pPr>
              <w:jc w:val="both"/>
              <w:pStyle w:val="CellColumn"/>
            </w:pPr>
            <w:r>
              <w:rPr>
                <w:rFonts w:hAnsi="Times New Roman" w:cs="Times New Roman"/>
              </w:rPr>
              <w:t xml:space="preserve">159.100.000</w:t>
            </w:r>
          </w:p>
        </w:tc>
        <w:tc>
          <w:tcPr>
            <w:tcW w:w="1632.96" w:type="dxa"/>
            <w:vAlign w:val="center"/>
          </w:tcPr>
          <w:p>
            <w:pPr>
              <w:jc w:val="both"/>
              <w:pStyle w:val="CellColumn"/>
            </w:pPr>
            <w:r>
              <w:rPr>
                <w:rFonts w:hAnsi="Times New Roman" w:cs="Times New Roman"/>
              </w:rPr>
              <w:t xml:space="preserve">132.834.886</w:t>
            </w:r>
          </w:p>
        </w:tc>
        <w:tc>
          <w:tcPr>
            <w:tcW w:w="1632.96" w:type="dxa"/>
            <w:vAlign w:val="center"/>
          </w:tcPr>
          <w:p>
            <w:pPr>
              <w:jc w:val="both"/>
              <w:pStyle w:val="CellColumn"/>
            </w:pPr>
            <w:r>
              <w:rPr>
                <w:rFonts w:hAnsi="Times New Roman" w:cs="Times New Roman"/>
              </w:rPr>
              <w:t xml:space="preserve">168.240.445</w:t>
            </w:r>
          </w:p>
        </w:tc>
        <w:tc>
          <w:tcPr>
            <w:tcW w:w="1632.96" w:type="dxa"/>
            <w:vAlign w:val="center"/>
          </w:tcPr>
          <w:p>
            <w:pPr>
              <w:jc w:val="both"/>
              <w:pStyle w:val="CellColumn"/>
            </w:pPr>
            <w:r>
              <w:rPr>
                <w:rFonts w:hAnsi="Times New Roman" w:cs="Times New Roman"/>
              </w:rPr>
              <w:t xml:space="preserve">133.500.000</w:t>
            </w:r>
          </w:p>
        </w:tc>
        <w:tc>
          <w:tcPr>
            <w:tcW w:w="510.3" w:type="dxa"/>
            <w:vAlign w:val="center"/>
          </w:tcPr>
          <w:p>
            <w:pPr>
              <w:jc w:val="both"/>
              <w:pStyle w:val="CellColumn"/>
            </w:pPr>
            <w:r>
              <w:rPr>
                <w:rFonts w:hAnsi="Times New Roman" w:cs="Times New Roman"/>
              </w:rPr>
              <w:t xml:space="preserve">83,5</w:t>
            </w:r>
          </w:p>
        </w:tc>
      </w:tr>
    </w:tbl>
    <w:p>
      <w:pPr>
        <w:jc w:val="left"/>
      </w:pPr>
      <w:r>
        <w:rPr>
          <w:rFonts w:hAnsi="Times New Roman" w:cs="Times New Roman"/>
        </w:rPr>
        <w:t xml:space="preserve"/>
      </w:r>
    </w:p>
    <w:p>
      <w:pPr>
        <w:jc w:val="both"/>
        <w:pStyle w:val="Normal"/>
      </w:pPr>
      <w:r>
        <w:rPr>
          <w:rFonts w:hAnsi="Times New Roman" w:cs="Times New Roman"/>
        </w:rPr>
        <w:t xml:space="preserve">Sukladno Uredbi (EU) 2016/2338 Europskog parlamenta i Vijeća od 14. prosinca 2016. godine o izmjeni Uredbe (EZ) br. 1370/2007 u pogledu otvaranja tržišta za usluge domaćeg željezničkog prijevoza putnika (Tekst značajan za EGP ) (SL L 354, 23.12.2016.) donijeta je Odluka Vlade Republike Hrvatske (sjednica održana 13. prosinca 2018. godine) o davanju suglasnosti Ministarstvu mora, prometa i infrastrukture za preuzimanje obveza na teret sredstava državnog proračuna Republike Hrvatske za razdoblje od 2019. do 2028. godine, za sklapanje ugovora s društvom HŽ Putnički prijevoz d.o.o. (u daljnjem tekstu: HŽPP), o javnim uslugama za usluge od općeg gospodarskog interesa u javnom željezničkom prijevozu u Republici Hrvatskoj za razdoblje od 01. siječnja 2019. do 31. prosinca 2028. godine.  
</w:t>
      </w:r>
    </w:p>
    <w:p>
      <w:pPr>
        <w:jc w:val="both"/>
        <w:pStyle w:val="Normal"/>
      </w:pPr>
      <w:r>
        <w:rPr>
          <w:rFonts w:hAnsi="Times New Roman" w:cs="Times New Roman"/>
        </w:rPr>
        <w:t xml:space="preserve">Republika Hrvatska - Ministarstvo mora, prometa i infrastrukture i HŽPP, sklopili su Ugovor br. 1/2019/DP-HŽPP o javnim uslugama za usluge od općeg gospodarskog interesa u javnom željezničkom prijevozu u Republici Hrvatskoj za razdoblje od 01. siječnja 2019. do 31. prosinca 2028. godine.  
</w:t>
      </w:r>
    </w:p>
    <w:p>
      <w:pPr>
        <w:jc w:val="both"/>
        <w:pStyle w:val="Normal"/>
      </w:pPr>
      <w:r>
        <w:rPr>
          <w:rFonts w:hAnsi="Times New Roman" w:cs="Times New Roman"/>
        </w:rPr>
        <w:t xml:space="preserve">Ugovor o javnim uslugama za usluge od općeg gospodarskog interesa u javnom željezničkom prijevozu u Republici Hrvatskoj (UJU) je ugovor o javnim uslugama u smislu Uredbe (EZ) br. 1370/2007 Europskog parlamenta i dopunjene Uredbe (EU) 2016/2338 Europskog parlamenta u pogledu otvaranja tržišta za usluge domaćeg željezničkog prijevoza putnika.  
</w:t>
      </w:r>
    </w:p>
    <w:p>
      <w:pPr>
        <w:jc w:val="both"/>
        <w:pStyle w:val="Normal"/>
      </w:pPr>
      <w:r>
        <w:rPr>
          <w:rFonts w:hAnsi="Times New Roman" w:cs="Times New Roman"/>
        </w:rPr>
        <w:t xml:space="preserve">Republika Hrvatska - Ministarstvo mora, prometa i infrastrukture povjerava društvu HŽPP, pružanje usluga kojima će jamčiti transparentnost i obavljanje usluga javnog željezničkog putničkog prijevoza na svim dionicama kroz Republiku Hrvatsku, uz poštivanje društvenih, okolišnih i regionalnih razvojnih čimbenika.   
</w:t>
      </w:r>
    </w:p>
    <w:p>
      <w:pPr>
        <w:jc w:val="both"/>
        <w:pStyle w:val="Normal"/>
      </w:pPr>
      <w:r>
        <w:rPr>
          <w:rFonts w:hAnsi="Times New Roman" w:cs="Times New Roman"/>
        </w:rPr>
        <w:t xml:space="preserve">Odlukom Vlade Republike Hrvatske (sjednica održana 13. prosinca 2018. godine) dana je suglasnost Ministarstvu mora, prometa i infrastrukture za preuzimanje obveza na teret sredstava državnog proračuna Republike Hrvatske za razdoblje od 2019. do 2028. godine, za sklapanje ugovora s društvom HŽPP, o javnim uslugama za usluge od općeg gospodarskog interesa u javnom željezničkom prijevozu u Republici Hrvatskoj za razdoblje od 01. siječnja 2019. do 31. prosinca 2028. godine. Slijedom navedenog, za provedbu PSO Ugovora planiraju se sljedeći iznosi za proračunsko razdoblje 2026. - 2028. kako slijedi:  
</w:t>
      </w:r>
    </w:p>
    <w:p>
      <w:pPr>
        <w:jc w:val="both"/>
        <w:pStyle w:val="Normal"/>
      </w:pPr>
      <w:r>
        <w:rPr>
          <w:rFonts w:hAnsi="Times New Roman" w:cs="Times New Roman"/>
        </w:rPr>
        <w:t xml:space="preserve">˗	u 2026. godini iznos 123.328.085 EUR   
</w:t>
      </w:r>
    </w:p>
    <w:p>
      <w:pPr>
        <w:jc w:val="both"/>
        <w:pStyle w:val="Normal"/>
      </w:pPr>
      <w:r>
        <w:rPr>
          <w:rFonts w:hAnsi="Times New Roman" w:cs="Times New Roman"/>
        </w:rPr>
        <w:t xml:space="preserve">˗	u 2027. godini iznos 115.000.000 EUR   
</w:t>
      </w:r>
    </w:p>
    <w:p>
      <w:pPr>
        <w:jc w:val="both"/>
        <w:pStyle w:val="Normal"/>
      </w:pPr>
      <w:r>
        <w:rPr>
          <w:rFonts w:hAnsi="Times New Roman" w:cs="Times New Roman"/>
        </w:rPr>
        <w:t xml:space="preserve">˗	u 2028. godini iznos 110.000.000 EUR.  
</w:t>
      </w:r>
    </w:p>
    <w:p>
      <w:pPr>
        <w:jc w:val="both"/>
        <w:pStyle w:val="Normal"/>
      </w:pPr>
      <w:r>
        <w:rPr>
          <w:rFonts w:hAnsi="Times New Roman" w:cs="Times New Roman"/>
        </w:rPr>
        <w:t xml:space="preserve">Naime, s obzirom da zbog opsežnih radova na modernizaciji i obnovi željezničke infrastrukture dolazi do uvođenja zamjenskog autobusnog prijevoza i većih kašnjenja vlakova, HŽPP posluje u otežanim uvjetima u odnosu na druge vrste prijevoza. Zbog kašnjenja duljih od 60, odnosno 120 minuta, sukladno Uredbi (EU) 2021/782 Europskog parlamenta i Vijeća od 29. travnja 2021. o pravima i obvezama putnika u željezničkom prijevozu, HŽPP je obvezan vraćati 25, odnosno 50 % cijene karte.
</w:t>
      </w:r>
    </w:p>
    <w:p>
      <w:pPr>
        <w:jc w:val="both"/>
        <w:pStyle w:val="Normal"/>
      </w:pPr>
      <w:r>
        <w:rPr>
          <w:rFonts w:hAnsi="Times New Roman" w:cs="Times New Roman"/>
        </w:rPr>
        <w:t xml:space="preserve">U vremenu u kojemu se suočavamo s klimatskim promjenama i štetnim učincima prometnog sektora na okoliš i zdravlje, dekarbonizacija prometnog sektora ključna je za postizanje klimatskih ciljeva EU-a. Zbog toga se provode različite mjere kojima se građane potiče na korištenje ekološki prihvatljivih načina prijevoza kako bi se postigla održiva mobilnost i osigurala kvalitetna povezanost. Te inicijative uključuju subvencioniranje željezničkih prijevoza, nabavu novih vozila i razvoj učinkovitijih prometnih sustava, a sve više građana počinje koristiti javni prijevoz. 
</w:t>
      </w:r>
    </w:p>
    <w:p>
      <w:pPr>
        <w:jc w:val="both"/>
        <w:pStyle w:val="Normal"/>
      </w:pPr>
      <w:r>
        <w:rPr>
          <w:rFonts w:hAnsi="Times New Roman" w:cs="Times New Roman"/>
        </w:rPr>
        <w:t xml:space="preserve">S obzirom na kontinuirano izvođenje radova na više relacija na području RH, projektima povoljnijega željezničkog prijevoza potiče se postojeće putnike da nastave koristiti uslugu prijevoza vlakom. Isto tako, nastavlja se provođenje projekata besplatnog željezničkog prijevoza djece i učenika osnovnih i srednjih škola, redovnih studenata te umirovljenika i osoba starijih od 65 godina. Projekti se provode sa svrhom poticanja i stvaranja navike korištenja javnoga željezničkog prijevoza, koji djelomično predstavljaju i kompenzacije za vrijeme radova na željezničkoj infrastrukturi. Također, nastavlja se  provođenje mjere besplatnog prijevoza za stanovnike pogođene potresom na području Sisačko-moslavačke županije te besplatan prijevoz ukrajinskih državljana na svim relacijama unutar Republike Hrvatske. S obzirom na velika ulaganja u željezničku infrastrukturu i vozni park, ovim projektima potiče se korištenje i održivost željezničkog prijevoza. Prijevoz vlakom ekološki je najprihvatljiviji način prijevoza, a nastavkom provođenja projekata dodatno će se potaknuti navedene kategorije putnika na učestalije korištenje željezničkog prijevoza.
</w:t>
      </w:r>
    </w:p>
    <w:p>
      <w:pPr>
        <w:jc w:val="both"/>
        <w:pStyle w:val="Normal"/>
      </w:pPr>
      <w:r>
        <w:rPr>
          <w:rFonts w:hAnsi="Times New Roman" w:cs="Times New Roman"/>
        </w:rPr>
        <w:t xml:space="preserve">Sukladno dokumentu Modernizacija i restrukturiranje željezničkog sektora koji je 1. srpnja 2021. usvojila Vlada Republike Hrvatske, radi osiguranja bolje prometne povezanosti u novom voznom redu 2025./2026. planira se 840 vlakova dnevno, uključivo 22 studentska noćna vlaka koji su u sklopu pilot-projekta u promet uvedeni 11.10.2025. godine. Uz to, uvedeno je oko 20 dodatnih vlakova na relacijama Vinkovci – Vukovar, Volinja – Sisak Caprag, Nova Kapela – Požega – Velika, Split – Kaštel Stari, Koprivnica – Novo Drnje i Strizivojna Vrpolje – Slavonski Šamac. Dakle, broj vlakova povećan je s prosječno 800 vlakova u 2025. na oko 840 vlakova u 2026. te povećanje broja vlak-kilometara s 13,8 milijuna na više od 14 milijuna. Nadalje, u zadnjem kvartalu 2026. godine planira se povezivanje Zagreba i Splita novim modernim vlakovima.
</w:t>
      </w:r>
    </w:p>
    <w:p>
      <w:pPr>
        <w:jc w:val="both"/>
        <w:pStyle w:val="Normal"/>
      </w:pPr>
      <w:r>
        <w:rPr>
          <w:rFonts w:hAnsi="Times New Roman" w:cs="Times New Roman"/>
        </w:rPr>
        <w:t xml:space="preserve">Uz to, remonti pruga nastavljaju se na većem dijelu mreže HŽ-a te se planiraju radovi na sljedećim dionicama:
</w:t>
      </w:r>
    </w:p>
    <w:p>
      <w:pPr>
        <w:jc w:val="both"/>
        <w:pStyle w:val="Normal"/>
      </w:pPr>
      <w:r>
        <w:rPr>
          <w:rFonts w:hAnsi="Times New Roman" w:cs="Times New Roman"/>
        </w:rPr>
        <w:t xml:space="preserve">-	DG Savski Marof – Zagreb GK
</w:t>
      </w:r>
    </w:p>
    <w:p>
      <w:pPr>
        <w:jc w:val="both"/>
        <w:pStyle w:val="Normal"/>
      </w:pPr>
      <w:r>
        <w:rPr>
          <w:rFonts w:hAnsi="Times New Roman" w:cs="Times New Roman"/>
        </w:rPr>
        <w:t xml:space="preserve">-	Zagreb GK – Dugo Selo 
</w:t>
      </w:r>
    </w:p>
    <w:p>
      <w:pPr>
        <w:jc w:val="both"/>
        <w:pStyle w:val="Normal"/>
      </w:pPr>
      <w:r>
        <w:rPr>
          <w:rFonts w:hAnsi="Times New Roman" w:cs="Times New Roman"/>
        </w:rPr>
        <w:t xml:space="preserve">-	Dugo Selo – Novska 
</w:t>
      </w:r>
    </w:p>
    <w:p>
      <w:pPr>
        <w:jc w:val="both"/>
        <w:pStyle w:val="Normal"/>
      </w:pPr>
      <w:r>
        <w:rPr>
          <w:rFonts w:hAnsi="Times New Roman" w:cs="Times New Roman"/>
        </w:rPr>
        <w:t xml:space="preserve">-	Novska – Tovarnik DG 
</w:t>
      </w:r>
    </w:p>
    <w:p>
      <w:pPr>
        <w:jc w:val="both"/>
        <w:pStyle w:val="Normal"/>
      </w:pPr>
      <w:r>
        <w:rPr>
          <w:rFonts w:hAnsi="Times New Roman" w:cs="Times New Roman"/>
        </w:rPr>
        <w:t xml:space="preserve">-	Dugo Selo – Križevci – Koprivnica – Botovo 
</w:t>
      </w:r>
    </w:p>
    <w:p>
      <w:pPr>
        <w:jc w:val="both"/>
        <w:pStyle w:val="Normal"/>
      </w:pPr>
      <w:r>
        <w:rPr>
          <w:rFonts w:hAnsi="Times New Roman" w:cs="Times New Roman"/>
        </w:rPr>
        <w:t xml:space="preserve">-	Zagreb GK – Rijeka na dionicama Hrvatski Leskovac – Karlovac – Ogulin, Ogulin – Rijeka
</w:t>
      </w:r>
    </w:p>
    <w:p>
      <w:pPr>
        <w:jc w:val="both"/>
        <w:pStyle w:val="Normal"/>
      </w:pPr>
      <w:r>
        <w:rPr>
          <w:rFonts w:hAnsi="Times New Roman" w:cs="Times New Roman"/>
        </w:rPr>
        <w:t xml:space="preserve">-	Rijeka – Šapjane DG
</w:t>
      </w:r>
    </w:p>
    <w:p>
      <w:pPr>
        <w:jc w:val="both"/>
        <w:pStyle w:val="Normal"/>
      </w:pPr>
      <w:r>
        <w:rPr>
          <w:rFonts w:hAnsi="Times New Roman" w:cs="Times New Roman"/>
        </w:rPr>
        <w:t xml:space="preserve">-	Zaprešić – Zabok – Varaždin – Kotoriba – Čakovec – DG 
</w:t>
      </w:r>
    </w:p>
    <w:p>
      <w:pPr>
        <w:jc w:val="both"/>
        <w:pStyle w:val="Normal"/>
      </w:pPr>
      <w:r>
        <w:rPr>
          <w:rFonts w:hAnsi="Times New Roman" w:cs="Times New Roman"/>
        </w:rPr>
        <w:t xml:space="preserve">-	Zagreb GK – Oštarije – Knin – Split  
</w:t>
      </w:r>
    </w:p>
    <w:p>
      <w:pPr>
        <w:jc w:val="both"/>
        <w:pStyle w:val="Normal"/>
      </w:pPr>
      <w:r>
        <w:rPr>
          <w:rFonts w:hAnsi="Times New Roman" w:cs="Times New Roman"/>
        </w:rPr>
        <w:t xml:space="preserve">-	Velika Gorica – Sisak – Novska na dionicama Greda – Sisak – Sisak Caprag – Sunja – Volinja i Sunja – Novska
</w:t>
      </w:r>
    </w:p>
    <w:p>
      <w:pPr>
        <w:jc w:val="both"/>
        <w:pStyle w:val="Normal"/>
      </w:pPr>
      <w:r>
        <w:rPr>
          <w:rFonts w:hAnsi="Times New Roman" w:cs="Times New Roman"/>
        </w:rPr>
        <w:t xml:space="preserve">-	Banova Jaruga – Pčelić
</w:t>
      </w:r>
    </w:p>
    <w:p>
      <w:pPr>
        <w:jc w:val="both"/>
        <w:pStyle w:val="Normal"/>
      </w:pPr>
      <w:r>
        <w:rPr>
          <w:rFonts w:hAnsi="Times New Roman" w:cs="Times New Roman"/>
        </w:rPr>
        <w:t xml:space="preserve">-	Pula – Buzet 
</w:t>
      </w:r>
    </w:p>
    <w:p>
      <w:pPr>
        <w:jc w:val="both"/>
        <w:pStyle w:val="Normal"/>
      </w:pPr>
      <w:r>
        <w:rPr>
          <w:rFonts w:hAnsi="Times New Roman" w:cs="Times New Roman"/>
        </w:rPr>
        <w:t xml:space="preserve">-	Karlovac – Kamanje DG 
</w:t>
      </w:r>
    </w:p>
    <w:p>
      <w:pPr>
        <w:jc w:val="both"/>
        <w:pStyle w:val="Normal"/>
      </w:pPr>
      <w:r>
        <w:rPr>
          <w:rFonts w:hAnsi="Times New Roman" w:cs="Times New Roman"/>
        </w:rPr>
        <w:t xml:space="preserve">-	Varaždin – Dalj na dionicama Koška – Osijek, Koprivnica – Virovitica, Varaždin – Koprivnica
</w:t>
      </w:r>
    </w:p>
    <w:p>
      <w:pPr>
        <w:jc w:val="both"/>
        <w:pStyle w:val="Normal"/>
      </w:pPr>
      <w:r>
        <w:rPr>
          <w:rFonts w:hAnsi="Times New Roman" w:cs="Times New Roman"/>
        </w:rPr>
        <w:t xml:space="preserve">-	Križevci – Bjelovar – Kloštar.
</w:t>
      </w:r>
    </w:p>
    <w:p>
      <w:pPr>
        <w:jc w:val="both"/>
        <w:pStyle w:val="Normal"/>
      </w:pPr>
      <w:r>
        <w:rPr>
          <w:rFonts w:hAnsi="Times New Roman" w:cs="Times New Roman"/>
        </w:rPr>
        <w:t xml:space="preserve">
</w:t>
      </w:r>
    </w:p>
    <w:p>
      <w:pPr>
        <w:jc w:val="both"/>
        <w:pStyle w:val="Normal"/>
      </w:pPr>
      <w:r>
        <w:rPr>
          <w:rFonts w:hAnsi="Times New Roman" w:cs="Times New Roman"/>
        </w:rPr>
        <w:t xml:space="preserve">Uslijed izvođenja radova na cijeloj željezničkoj mreži uvode se zatvori pruga, smanjuju se brzine prometovanja vlakova za prijevoz putnika te se uvode usporene vožnje, a česte su supstitucije vlakova autobusima, što iziskuje dvostruke prijevozne kapacitete. Također, povećani su troškovi tekućeg održavanja voznog parka uslijed povećanja cijena te povećanja broja vozila koja zbog starosti ulaze u ciklus popravaka najviše razine. Prosječna brzina putničkih vlakova iznosi 43 km/h, a zbog duljeg vremena putovanja, troškovi eksploatacije povećavaju se i do 40 % zbog povećanih potreba za vozilima i radom.
</w:t>
      </w:r>
    </w:p>
    <w:p>
      <w:pPr>
        <w:jc w:val="both"/>
        <w:pStyle w:val="Normal"/>
      </w:pPr>
      <w:r>
        <w:rPr>
          <w:rFonts w:hAnsi="Times New Roman" w:cs="Times New Roman"/>
        </w:rPr>
        <w:t xml:space="preserve">Povećava se i trošak tekućeg održavanja voznog parka zbog povećanja troškova održavanja voznog parka na temelju povećanja cijena materijala i drugih vanjskih usluga te povećanje broja vozila zbog isteka ciklusa za obavljanje popravaka. Istekom garantnog roka za nove vlakove povećava se trošak tekućeg održavanja za posjednika vozila dok je u garantnom roku troškove korektivnog održavanja snosio proizvođač vozila. Radi starosti voznog parka i isteka ciklusa za obavljanje popravaka povećava se broj vozila  koja ulaze u  preventivno održavanje najviše razine (11 vučnih vozila i 25 putnička vagona).
</w:t>
      </w:r>
    </w:p>
    <w:p>
      <w:pPr>
        <w:jc w:val="both"/>
        <w:pStyle w:val="Normal"/>
      </w:pPr>
      <w:r>
        <w:rPr>
          <w:rFonts w:hAnsi="Times New Roman" w:cs="Times New Roman"/>
        </w:rPr>
        <w:t xml:space="preserve">Vezano uz planiranu dinamiku realizacije projekata koji se financiraju iz zajma Europske investicijske banke (IZV 810) u 2026. godini je potrebno osigurati sredstva u iznosu 9.506.801,00 EUR za sljedeće projekte: 
</w:t>
      </w:r>
    </w:p>
    <w:p>
      <w:pPr>
        <w:jc w:val="both"/>
        <w:pStyle w:val="Normal"/>
      </w:pPr>
      <w:r>
        <w:rPr>
          <w:rFonts w:hAnsi="Times New Roman" w:cs="Times New Roman"/>
        </w:rPr>
        <w:t xml:space="preserve">˗	isporuka novog EDMV vlaka koji će se koristiti na relaciji Zagreb-Split u iznosu od 7.668.123 EUR 
</w:t>
      </w:r>
    </w:p>
    <w:p>
      <w:pPr>
        <w:jc w:val="both"/>
        <w:pStyle w:val="Normal"/>
      </w:pPr>
      <w:r>
        <w:rPr>
          <w:rFonts w:hAnsi="Times New Roman" w:cs="Times New Roman"/>
        </w:rPr>
        <w:t xml:space="preserve">˗	izgradnja tehničko-logističkog centra Zagreb i obnovu radionica za održavanje željezničkih vozila u iznosu od 950.000 EUR 
</w:t>
      </w:r>
    </w:p>
    <w:p>
      <w:pPr>
        <w:jc w:val="both"/>
        <w:pStyle w:val="Normal"/>
      </w:pPr>
      <w:r>
        <w:rPr>
          <w:rFonts w:hAnsi="Times New Roman" w:cs="Times New Roman"/>
        </w:rPr>
        <w:t xml:space="preserve">˗	ulaganja u uslužni objekt Centar Split u iznosu 25.000 EUR 
</w:t>
      </w:r>
    </w:p>
    <w:p>
      <w:pPr>
        <w:jc w:val="both"/>
        <w:pStyle w:val="Normal"/>
      </w:pPr>
      <w:r>
        <w:rPr>
          <w:rFonts w:hAnsi="Times New Roman" w:cs="Times New Roman"/>
        </w:rPr>
        <w:t xml:space="preserve">˗	razlika sredstava za dovršetak projekta nabave 2 vlaka (EBMV i BMV) i punionica te modernizacija informatičkog i prodajnog sustava, koji su financirani iz Nacionalnog plana oporavka i otpornosti u iznosu od 863.678 EUR.
</w:t>
      </w:r>
    </w:p>
    <w:p>
      <w:pPr>
        <w:jc w:val="both"/>
        <w:pStyle w:val="Normal"/>
      </w:pPr>
      <w:r>
        <w:rPr>
          <w:rFonts w:hAnsi="Times New Roman" w:cs="Times New Roman"/>
        </w:rPr>
        <w:t xml:space="preserve">Sukladno promijenjenoj dinamici realizacije projekata koji se financiraju iz zajma Europske investicijske banke (IZV 810) u 2026. godini potrebno je osigurati sredstva u iznosu od 9.506.801 EUR,  u 2027. godini potrebno je osigurati sredstva u iznosu od 53.240.445 EUR, a u 2028. godini u iznosu od 20.000.000 EUR. 
</w:t>
      </w:r>
    </w:p>
    <w:p>
      <w:pPr>
        <w:jc w:val="both"/>
        <w:pStyle w:val="Normal"/>
      </w:pPr>
      <w:r>
        <w:rPr>
          <w:rFonts w:hAnsi="Times New Roman" w:cs="Times New Roman"/>
        </w:rPr>
        <w:t xml:space="preserve">Nadalje, u 2028. godini planirano na IZV 11, 3632 Kapitalne pomoći drugom proračunu i izvanproračunskim korisnicima potrebno je osigurati 3.500.000 EUR za potporu projektima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Postotak izvršenja PSO Ugovora</w:t>
            </w:r>
          </w:p>
        </w:tc>
        <w:tc>
          <w:tcPr>
            <w:tcW w:w="2245.32" w:type="dxa"/>
            <w:vAlign w:val="center"/>
          </w:tcPr>
          <w:p>
            <w:pPr>
              <w:jc w:val="both"/>
              <w:pStyle w:val="CellColumn"/>
            </w:pPr>
            <w:r>
              <w:rPr>
                <w:rFonts w:hAnsi="Times New Roman" w:cs="Times New Roman"/>
              </w:rPr>
              <w:t xml:space="preserve">Poticanjem željezničkog prijevoza i provedbom Ugovora o javnom željezničkom putničkom prijevozu na svim dionicama RH rasti će broj putnika željeznicom</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HŽPP</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A819076 POTICANJE OTOČNOG JAVNOG CESTOVNOG PRIJEVOZA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otocima
</w:t>
      </w:r>
    </w:p>
    <w:p>
      <w:pPr>
        <w:jc w:val="both"/>
        <w:pStyle w:val="Normal5"/>
      </w:pPr>
      <w:r>
        <w:rPr>
          <w:rFonts w:hAnsi="Times New Roman" w:cs="Times New Roman"/>
        </w:rPr>
        <w:t xml:space="preserve">- Pravilnik o uvjetima, kriterijima i načinu ostvarivanja prava na besplatni javni otočni cestovni prijevoz
</w:t>
      </w:r>
    </w:p>
    <w:p>
      <w:pPr>
        <w:jc w:val="both"/>
        <w:pStyle w:val="Normal5"/>
      </w:pPr>
      <w:r>
        <w:rPr>
          <w:rFonts w:hAnsi="Times New Roman" w:cs="Times New Roman"/>
        </w:rPr>
        <w:t xml:space="preserve">- Zakon o prijevozu u cestovnom prometu (članak 33. stavak 17.)</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A819076-POTICANJE OTOČNOG JAVNOG CESTOVNOG PRIJEVOZA</w:t>
            </w:r>
          </w:p>
        </w:tc>
        <w:tc>
          <w:tcPr>
            <w:tcW w:w="1632.96" w:type="dxa"/>
            <w:vAlign w:val="center"/>
          </w:tcPr>
          <w:p>
            <w:pPr>
              <w:jc w:val="both"/>
              <w:pStyle w:val="CellColumn"/>
            </w:pPr>
            <w:r>
              <w:rPr>
                <w:rFonts w:hAnsi="Times New Roman" w:cs="Times New Roman"/>
              </w:rPr>
              <w:t xml:space="preserve">4.368.504</w:t>
            </w:r>
          </w:p>
        </w:tc>
        <w:tc>
          <w:tcPr>
            <w:tcW w:w="1632.96" w:type="dxa"/>
            <w:vAlign w:val="center"/>
          </w:tcPr>
          <w:p>
            <w:pPr>
              <w:jc w:val="both"/>
              <w:pStyle w:val="CellColumn"/>
            </w:pPr>
            <w:r>
              <w:rPr>
                <w:rFonts w:hAnsi="Times New Roman" w:cs="Times New Roman"/>
              </w:rPr>
              <w:t xml:space="preserve">6.811.566</w:t>
            </w:r>
          </w:p>
        </w:tc>
        <w:tc>
          <w:tcPr>
            <w:tcW w:w="1632.96" w:type="dxa"/>
            <w:vAlign w:val="center"/>
          </w:tcPr>
          <w:p>
            <w:pPr>
              <w:jc w:val="both"/>
              <w:pStyle w:val="CellColumn"/>
            </w:pPr>
            <w:r>
              <w:rPr>
                <w:rFonts w:hAnsi="Times New Roman" w:cs="Times New Roman"/>
              </w:rPr>
              <w:t xml:space="preserve">7.638.259</w:t>
            </w:r>
          </w:p>
        </w:tc>
        <w:tc>
          <w:tcPr>
            <w:tcW w:w="1632.96" w:type="dxa"/>
            <w:vAlign w:val="center"/>
          </w:tcPr>
          <w:p>
            <w:pPr>
              <w:jc w:val="both"/>
              <w:pStyle w:val="CellColumn"/>
            </w:pPr>
            <w:r>
              <w:rPr>
                <w:rFonts w:hAnsi="Times New Roman" w:cs="Times New Roman"/>
              </w:rPr>
              <w:t xml:space="preserve">7.638.259</w:t>
            </w:r>
          </w:p>
        </w:tc>
        <w:tc>
          <w:tcPr>
            <w:tcW w:w="1632.96" w:type="dxa"/>
            <w:vAlign w:val="center"/>
          </w:tcPr>
          <w:p>
            <w:pPr>
              <w:jc w:val="both"/>
              <w:pStyle w:val="CellColumn"/>
            </w:pPr>
            <w:r>
              <w:rPr>
                <w:rFonts w:hAnsi="Times New Roman" w:cs="Times New Roman"/>
              </w:rPr>
              <w:t xml:space="preserve">7.638.259</w:t>
            </w:r>
          </w:p>
        </w:tc>
        <w:tc>
          <w:tcPr>
            <w:tcW w:w="510.3" w:type="dxa"/>
            <w:vAlign w:val="center"/>
          </w:tcPr>
          <w:p>
            <w:pPr>
              <w:jc w:val="both"/>
              <w:pStyle w:val="CellColumn"/>
            </w:pPr>
            <w:r>
              <w:rPr>
                <w:rFonts w:hAnsi="Times New Roman" w:cs="Times New Roman"/>
              </w:rPr>
              <w:t xml:space="preserve">112,1</w:t>
            </w:r>
          </w:p>
        </w:tc>
      </w:tr>
    </w:tbl>
    <w:p>
      <w:pPr>
        <w:jc w:val="left"/>
      </w:pPr>
      <w:r>
        <w:rPr>
          <w:rFonts w:hAnsi="Times New Roman" w:cs="Times New Roman"/>
        </w:rPr>
        <w:t xml:space="preserve"/>
      </w:r>
    </w:p>
    <w:p>
      <w:pPr>
        <w:jc w:val="both"/>
        <w:pStyle w:val="Normal"/>
      </w:pPr>
      <w:r>
        <w:rPr>
          <w:rFonts w:hAnsi="Times New Roman" w:cs="Times New Roman"/>
        </w:rPr>
        <w:t xml:space="preserve">U cilju poboljšanja životnog standarda građana i smanjenja iseljavanja stanovništva s otoka, ovom mjerom, između ostalih, planira se osigurati korištenje besplatnog javnog otočnog cestovnog prijevoza određenim kategorijama otočnog stanovništva (djeca do navršene osme godine života, učenici i studenti, umirovljenici, stariji od 65 godina, djeca s teškoćama u razvoju, osobe s invaliditetom, osoba koja je u pratnji djeteta s teškoćama u razvoju ili osobe s invaliditetom, osim kada osoba u pratnji ostvaruje pravo na besplatni prijevoz u skladu s posebnim propisom). Osim kategorija otočana pravo na besplatan javni otočni cestovni prijevoz imajuu: dijete s teškoćama u razvoju kojem je utvrđen III. ili IV. stupanj funkcionalnog oštećenja bez obzira na mjesto prebivališta, učenik i student koji se školuje odnosno studira na otoku, osoba s invaliditetom kod koje je utvrđeno tjelesno oštećenje donjih ekstremiteta 80 % ili više, hrvatski ratni vojni invalid sa 100 % tjelesnog oštećenja te osoba s invaliditetom kojoj je utvrđen III. ili IV. stupanj funkcionalnog oštećenja, bez obzira na mjesto prebivališta, osoba koja je u pratnji djeteta s teškoćama u razvoju ili osobe s invaliditetom, korisnik doma za starije i nemoćne osobe na otocima. 
</w:t>
      </w:r>
    </w:p>
    <w:p>
      <w:pPr>
        <w:jc w:val="both"/>
        <w:pStyle w:val="Normal"/>
      </w:pPr>
      <w:r>
        <w:rPr>
          <w:rFonts w:hAnsi="Times New Roman" w:cs="Times New Roman"/>
        </w:rPr>
        <w:t xml:space="preserve">Obalno-otočne županije su sukladno čl. 15. Pravilnika o načinu ostvarivanja prava na besplatan javni otočni cestovni prijevoz („Narodne novine“ broj 68/24 – dalje u tekstu: Pravilnik), dobile zahtjeve prijevoznika za povećanje sredstava za iduće razdoblje zbog činjenica da sredstva nisu bila usklađivana s povećanjem indeksnog rasta cijena energenata te posljedično i drugih troškova (održavanje vozila) kao i utjecaja višegodišnje inflacije na troškove poslovanja, a sam broj prevezenih putnika na otocima je premali da bi bio rentabilan za cestovne prijevoznike. Nastavno, cijene su usklađene s cijenama na kopnu s jednakim relacijama kopnenog dijela.
</w:t>
      </w:r>
    </w:p>
    <w:p>
      <w:pPr>
        <w:jc w:val="both"/>
        <w:pStyle w:val="Normal"/>
      </w:pPr>
      <w:r>
        <w:rPr>
          <w:rFonts w:hAnsi="Times New Roman" w:cs="Times New Roman"/>
        </w:rPr>
        <w:t xml:space="preserve">Također, Obalno-otočne županije osim zahtjeva novih korisnika, temeljem istraživanja, očekuju i zaprimanje povećanog broja zahtjeva postojećih korisnika za ostvarivanje prava na besplatan javni otočni cestovni prijevoz. Zaključno, planirani povećani iznos je neophodan za mjeru besplatnog otočnog cestovnog prijevoza.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stanovnika</w:t>
            </w:r>
          </w:p>
        </w:tc>
        <w:tc>
          <w:tcPr>
            <w:tcW w:w="2245.32" w:type="dxa"/>
            <w:vAlign w:val="center"/>
          </w:tcPr>
          <w:p>
            <w:pPr>
              <w:jc w:val="both"/>
              <w:pStyle w:val="CellColumn"/>
            </w:pPr>
            <w:r>
              <w:rPr>
                <w:rFonts w:hAnsi="Times New Roman" w:cs="Times New Roman"/>
              </w:rPr>
              <w:t xml:space="preserve">Povećanje broja stanovnika otoka koji koriste besplatni otočni javni prijevoz</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50.313</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52.000</w:t>
            </w:r>
          </w:p>
        </w:tc>
        <w:tc>
          <w:tcPr>
            <w:tcW w:w="918.54" w:type="dxa"/>
            <w:vAlign w:val="center"/>
          </w:tcPr>
          <w:p>
            <w:pPr>
              <w:jc w:val="both"/>
              <w:pStyle w:val="CellColumn"/>
            </w:pPr>
            <w:r>
              <w:rPr>
                <w:rFonts w:hAnsi="Times New Roman" w:cs="Times New Roman"/>
              </w:rPr>
              <w:t xml:space="preserve">53.000</w:t>
            </w:r>
          </w:p>
        </w:tc>
        <w:tc>
          <w:tcPr>
            <w:tcW w:w="918.54" w:type="dxa"/>
            <w:vAlign w:val="center"/>
          </w:tcPr>
          <w:p>
            <w:pPr>
              <w:jc w:val="both"/>
              <w:pStyle w:val="CellColumn"/>
            </w:pPr>
            <w:r>
              <w:rPr>
                <w:rFonts w:hAnsi="Times New Roman" w:cs="Times New Roman"/>
              </w:rPr>
              <w:t xml:space="preserve">53.500</w:t>
            </w:r>
          </w:p>
        </w:tc>
      </w:tr>
    </w:tbl>
    <w:p>
      <w:pPr>
        <w:jc w:val="left"/>
      </w:pPr>
      <w:r>
        <w:rPr>
          <w:rFonts w:hAnsi="Times New Roman" w:cs="Times New Roman"/>
        </w:rPr>
        <w:t xml:space="preserve"/>
      </w:r>
    </w:p>
    <w:p>
      <w:pPr>
        <w:jc w:val="left"/>
        <w:pStyle w:val="Heading4"/>
      </w:pPr>
      <w:r>
        <w:rPr>
          <w:rFonts w:hAnsi="Times New Roman" w:cs="Times New Roman"/>
        </w:rPr>
        <w:t xml:space="preserve">A819079 POTICAJI ZA PRIJEVOZ TERETA LIČKOM PRUGOM</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Nacionalni program željezničke infrastrukture za razdoblje od 2016. do 2020. godine  
</w:t>
      </w:r>
    </w:p>
    <w:p>
      <w:pPr>
        <w:jc w:val="both"/>
        <w:pStyle w:val="Normal5"/>
      </w:pPr>
      <w:r>
        <w:rPr>
          <w:rFonts w:hAnsi="Times New Roman" w:cs="Times New Roman"/>
        </w:rPr>
        <w:t xml:space="preserve">- Konsolidirana verzija Ugovora o Europskoj uniji i Ugovora o funkcioniranju Europske unije (čl. 73)
</w:t>
      </w:r>
    </w:p>
    <w:p>
      <w:pPr>
        <w:jc w:val="both"/>
        <w:pStyle w:val="Normal5"/>
      </w:pPr>
      <w:r>
        <w:rPr>
          <w:rFonts w:hAnsi="Times New Roman" w:cs="Times New Roman"/>
        </w:rPr>
        <w:t xml:space="preserve">- Smjernice Zajednice o državnoj potpori za željeznička poduzeća (2008/C 184/07, str. 13.-31.)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A819079-POTICAJI ZA PRIJEVOZ TERETA LIČKOM PRUGOM</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300.000</w:t>
            </w:r>
          </w:p>
        </w:tc>
        <w:tc>
          <w:tcPr>
            <w:tcW w:w="1632.96" w:type="dxa"/>
            <w:vAlign w:val="center"/>
          </w:tcPr>
          <w:p>
            <w:pPr>
              <w:jc w:val="both"/>
              <w:pStyle w:val="CellColumn"/>
            </w:pPr>
            <w:r>
              <w:rPr>
                <w:rFonts w:hAnsi="Times New Roman" w:cs="Times New Roman"/>
              </w:rPr>
              <w:t xml:space="preserve">500.000</w:t>
            </w:r>
          </w:p>
        </w:tc>
        <w:tc>
          <w:tcPr>
            <w:tcW w:w="1632.96" w:type="dxa"/>
            <w:vAlign w:val="center"/>
          </w:tcPr>
          <w:p>
            <w:pPr>
              <w:jc w:val="both"/>
              <w:pStyle w:val="CellColumn"/>
            </w:pPr>
            <w:r>
              <w:rPr>
                <w:rFonts w:hAnsi="Times New Roman" w:cs="Times New Roman"/>
              </w:rPr>
              <w:t xml:space="preserve">500.000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Ministarstvo mora, prometa i infrastrukture, uvidjelo je potrebu za promicanjem prijevoza tereta na Ličkoj pruzi u narednom razdoblju  i to ispravljanjem neravnoteža između prometnih koridora kroz Republiku Hrvatsku nadoknadom dijela prihvatljivih (vanjskih) troškova i/ili troškova pristupa trasi infrastrukture. Navedenim se promiče i razvoj luka s ciljem povećanja udjela prekrcaja tereta, a time pomaže i razvoju gospodarstva i povećanju zaposlenosti.
</w:t>
      </w:r>
    </w:p>
    <w:p>
      <w:pPr>
        <w:jc w:val="both"/>
        <w:pStyle w:val="Normal"/>
      </w:pPr>
      <w:r>
        <w:rPr>
          <w:rFonts w:hAnsi="Times New Roman" w:cs="Times New Roman"/>
        </w:rPr>
        <w:t xml:space="preserve">U smislu tehničkih karakteristika i operativne fleksibilnosti, predmetna dionica ima određene bitne nedostatke u odnosu na ostale koridore, te je željeznički prijevoznici slabo koriste. Međutim, istovremeno nudi mogućnost neophodnog povezivanja središnje i južne Hrvatske.
</w:t>
      </w:r>
    </w:p>
    <w:p>
      <w:pPr>
        <w:jc w:val="both"/>
        <w:pStyle w:val="Normal"/>
      </w:pPr>
      <w:r>
        <w:rPr>
          <w:rFonts w:hAnsi="Times New Roman" w:cs="Times New Roman"/>
        </w:rPr>
        <w:t xml:space="preserve">Subvencija će se temeljiti na odredbama strateških razvojnih dokumenata s područja prometa, i to: Bijela knjiga o jedinstvenom europskom prometnom području 2011., Nacionalna razvojna strategija do 2030. u kojoj je u okviru strateškog cilja 10. Održiva mobilnost utvrđena kao prioritet provedbe na području željezničkog prometa, između ostalog, promicanje prijevoza tereta željeznicom i drugim oblicima prijevoza s manjom emisijom stakleničkih plinova, Strategija prometnog razvoja Republike Hrvatske za razdoblje od 2017. do 2030. godine, Strategija razvoja željezničkog sustava Republike Hrvatske do 2032. godine, kao i na lokalnim i regionalnim planskim dokumentima. Strateško planiranje kao temelj razvoja prometnog sektora definirano je kao sredstvo u službi viših ciljeva gospodarske i socijalne politike. Kao rezultat navedenog, promet se u smislu strateškog planiranja smatra osnovnim sustavom kojim će se zadovoljiti potrebe prijevoza tereta te u isto vrijeme učinkovitim i značajnim sredstvom za promicanje gospodarskog razvoja.  Prioriteti u području prijevoza tereta koji su utvrđeni i prepoznati u navedenim dokumentima naročito se odnose na sljedeće:
</w:t>
      </w:r>
    </w:p>
    <w:p>
      <w:pPr>
        <w:jc w:val="both"/>
        <w:pStyle w:val="Normal"/>
      </w:pPr>
      <w:r>
        <w:rPr>
          <w:rFonts w:hAnsi="Times New Roman" w:cs="Times New Roman"/>
        </w:rPr>
        <w:t xml:space="preserve">1. unapređenje pristupačnosti u teretnom prometu unutar Republike Hrvatske od pretovarnih kolodvora odnosno logističkih centara u lukama ključnim za upravljanje većim količinama tereta i 
</w:t>
      </w:r>
    </w:p>
    <w:p>
      <w:pPr>
        <w:jc w:val="both"/>
        <w:pStyle w:val="Normal"/>
      </w:pPr>
      <w:r>
        <w:rPr>
          <w:rFonts w:hAnsi="Times New Roman" w:cs="Times New Roman"/>
        </w:rPr>
        <w:t xml:space="preserve">2. smanjivanje eksternih troškova, poticanje željezničkog prijevoza tereta budući da stvara niže eksterne troškove nego drugi oblici kao što je cestovni prijevoz tereta. 
</w:t>
      </w:r>
    </w:p>
    <w:p>
      <w:pPr>
        <w:jc w:val="both"/>
        <w:pStyle w:val="Normal"/>
      </w:pPr>
      <w:r>
        <w:rPr>
          <w:rFonts w:hAnsi="Times New Roman" w:cs="Times New Roman"/>
        </w:rPr>
        <w:t xml:space="preserve">Da bi se potaknuo gospodarski razvoj toga kraja i razvoj luka koje sada imaju ograničene kapacitete, neophodno je osigurati financijsku podršku države poduzetnicima koji obavljaju djelatnosti u sektoru željezničkog teretnog prijevoza, a s ciljem smanjenja troškova koji su veći od ostvarenih prihoda na ovoj dionici pruge, što negativno utječe na njihovo poslovanje.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Isplaćene subvencije</w:t>
            </w:r>
          </w:p>
        </w:tc>
        <w:tc>
          <w:tcPr>
            <w:tcW w:w="2245.32" w:type="dxa"/>
            <w:vAlign w:val="center"/>
          </w:tcPr>
          <w:p>
            <w:pPr>
              <w:jc w:val="both"/>
              <w:pStyle w:val="CellColumn"/>
            </w:pPr>
            <w:r>
              <w:rPr>
                <w:rFonts w:hAnsi="Times New Roman" w:cs="Times New Roman"/>
              </w:rPr>
              <w:t xml:space="preserve">Osiguranje financijske podrške prijevoznicima u svrhu poticanja gospodarskog razvoja priobalja i razvoj luka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A820076 SUFINANCIRANJE JAVNE USLUGE U CESTOVNOM PRIJEVOZU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Uredba Europskog parlamenta i Vijeća o uslugama javnog željezničkog i cestovnog prijevoza putnika
</w:t>
      </w:r>
    </w:p>
    <w:p>
      <w:pPr>
        <w:jc w:val="both"/>
        <w:pStyle w:val="Normal5"/>
      </w:pPr>
      <w:r>
        <w:rPr>
          <w:rFonts w:hAnsi="Times New Roman" w:cs="Times New Roman"/>
        </w:rPr>
        <w:t xml:space="preserve">- Zakon o prijevozu u cestovnom prometu (članak 33.)
</w:t>
      </w:r>
    </w:p>
    <w:p>
      <w:pPr>
        <w:jc w:val="both"/>
        <w:pStyle w:val="Normal5"/>
      </w:pPr>
      <w:r>
        <w:rPr>
          <w:rFonts w:hAnsi="Times New Roman" w:cs="Times New Roman"/>
        </w:rPr>
        <w:t xml:space="preserve">- Odluka o iznosima sufinanciranja, mjerilima i kriterijima za sufinanciranje javne usluge u cestovnom prijevozu putnika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A820076-SUFINANCIRANJE JAVNE USLUGE U CESTOVNOM PRIJEVOZU</w:t>
            </w:r>
          </w:p>
        </w:tc>
        <w:tc>
          <w:tcPr>
            <w:tcW w:w="1632.96" w:type="dxa"/>
            <w:vAlign w:val="center"/>
          </w:tcPr>
          <w:p>
            <w:pPr>
              <w:jc w:val="both"/>
              <w:pStyle w:val="CellColumn"/>
            </w:pPr>
            <w:r>
              <w:rPr>
                <w:rFonts w:hAnsi="Times New Roman" w:cs="Times New Roman"/>
              </w:rPr>
              <w:t xml:space="preserve">12.015.143</w:t>
            </w:r>
          </w:p>
        </w:tc>
        <w:tc>
          <w:tcPr>
            <w:tcW w:w="1632.96" w:type="dxa"/>
            <w:vAlign w:val="center"/>
          </w:tcPr>
          <w:p>
            <w:pPr>
              <w:jc w:val="both"/>
              <w:pStyle w:val="CellColumn"/>
            </w:pPr>
            <w:r>
              <w:rPr>
                <w:rFonts w:hAnsi="Times New Roman" w:cs="Times New Roman"/>
              </w:rPr>
              <w:t xml:space="preserve">19.074.190</w:t>
            </w:r>
          </w:p>
        </w:tc>
        <w:tc>
          <w:tcPr>
            <w:tcW w:w="1632.96" w:type="dxa"/>
            <w:vAlign w:val="center"/>
          </w:tcPr>
          <w:p>
            <w:pPr>
              <w:jc w:val="both"/>
              <w:pStyle w:val="CellColumn"/>
            </w:pPr>
            <w:r>
              <w:rPr>
                <w:rFonts w:hAnsi="Times New Roman" w:cs="Times New Roman"/>
              </w:rPr>
              <w:t xml:space="preserve">28.714.845</w:t>
            </w:r>
          </w:p>
        </w:tc>
        <w:tc>
          <w:tcPr>
            <w:tcW w:w="1632.96" w:type="dxa"/>
            <w:vAlign w:val="center"/>
          </w:tcPr>
          <w:p>
            <w:pPr>
              <w:jc w:val="both"/>
              <w:pStyle w:val="CellColumn"/>
            </w:pPr>
            <w:r>
              <w:rPr>
                <w:rFonts w:hAnsi="Times New Roman" w:cs="Times New Roman"/>
              </w:rPr>
              <w:t xml:space="preserve">44.390.657</w:t>
            </w:r>
          </w:p>
        </w:tc>
        <w:tc>
          <w:tcPr>
            <w:tcW w:w="1632.96" w:type="dxa"/>
            <w:vAlign w:val="center"/>
          </w:tcPr>
          <w:p>
            <w:pPr>
              <w:jc w:val="both"/>
              <w:pStyle w:val="CellColumn"/>
            </w:pPr>
            <w:r>
              <w:rPr>
                <w:rFonts w:hAnsi="Times New Roman" w:cs="Times New Roman"/>
              </w:rPr>
              <w:t xml:space="preserve">40.000.000</w:t>
            </w:r>
          </w:p>
        </w:tc>
        <w:tc>
          <w:tcPr>
            <w:tcW w:w="510.3" w:type="dxa"/>
            <w:vAlign w:val="center"/>
          </w:tcPr>
          <w:p>
            <w:pPr>
              <w:jc w:val="both"/>
              <w:pStyle w:val="CellColumn"/>
            </w:pPr>
            <w:r>
              <w:rPr>
                <w:rFonts w:hAnsi="Times New Roman" w:cs="Times New Roman"/>
              </w:rPr>
              <w:t xml:space="preserve">150,5</w:t>
            </w:r>
          </w:p>
        </w:tc>
      </w:tr>
    </w:tbl>
    <w:p>
      <w:pPr>
        <w:jc w:val="left"/>
      </w:pPr>
      <w:r>
        <w:rPr>
          <w:rFonts w:hAnsi="Times New Roman" w:cs="Times New Roman"/>
        </w:rPr>
        <w:t xml:space="preserve"/>
      </w:r>
    </w:p>
    <w:p>
      <w:pPr>
        <w:jc w:val="both"/>
        <w:pStyle w:val="Normal"/>
      </w:pPr>
      <w:r>
        <w:rPr>
          <w:rFonts w:hAnsi="Times New Roman" w:cs="Times New Roman"/>
        </w:rPr>
        <w:t xml:space="preserve">U cilju osiguranja nesmetanog obavljanja javnog linijskog prijevoza, ovom mjerom planiraju se sredstva radi sufinanciranja naknade cestovnim prijevoznicima za obavljanje prijevoza na redovnim autobusnim linijama na području županija, a koje se obavljaju kao javna usluga na temelju Uredbe (EZ) 1370/2007. 
</w:t>
      </w:r>
    </w:p>
    <w:p>
      <w:pPr>
        <w:jc w:val="both"/>
        <w:pStyle w:val="Normal"/>
      </w:pPr>
      <w:r>
        <w:rPr>
          <w:rFonts w:hAnsi="Times New Roman" w:cs="Times New Roman"/>
        </w:rPr>
        <w:t xml:space="preserve">Ugovor o prijevozukao javnoj usluzi može se sklopiti na rok koji nije duži od deset godina. Sredstva za financiranje javne usluge se osiguravaju iz prodaje voznih karata, proračuna jedinica područne (regionalne) samouprave i iz državnog proračuna RH. Planirana sredstva će se dodjeljivati županijama radi isplate nadoknade troškova cestovnim prijevoznicima s kojima će sklopiti ugovore o obavljanju cestovnog prijevoza putnika kao javne usluge. 
</w:t>
      </w:r>
    </w:p>
    <w:p>
      <w:pPr>
        <w:jc w:val="both"/>
        <w:pStyle w:val="Normal"/>
      </w:pPr>
      <w:r>
        <w:rPr>
          <w:rFonts w:hAnsi="Times New Roman" w:cs="Times New Roman"/>
        </w:rPr>
        <w:t xml:space="preserve">Vlada Republike Hrvatske sufinancirat će javnu uslugu u cestovnom prijevozu putnika ugovorenu između jedinica područne (regionalne) samouprave i prijevoznika u razdoblju od 2021. do 2027. u godišnjem iznosu utvrđenom u državnom proračunu do najviše 56.820.855 eura.
</w:t>
      </w:r>
    </w:p>
    <w:p>
      <w:pPr>
        <w:jc w:val="both"/>
        <w:pStyle w:val="Normal"/>
      </w:pPr>
      <w:r>
        <w:rPr>
          <w:rFonts w:hAnsi="Times New Roman" w:cs="Times New Roman"/>
        </w:rPr>
        <w:t xml:space="preserve">U razdoblju od 2023. do 2025. godine samo je 7 županija organiziralo javni linijski cestovni prijevoz kao javna usluga, a temeljem provedene ankete, još ih 6 planira do 2027. godine. Stoga su planirana povećana sredstva, a u skladu s izrađenim Mrežama linija i pripremljenom dokumentacijom za objavu javnih natječaja.
</w:t>
      </w:r>
    </w:p>
    <w:p>
      <w:pPr>
        <w:jc w:val="both"/>
        <w:pStyle w:val="Normal"/>
      </w:pPr>
      <w:r>
        <w:rPr>
          <w:rFonts w:hAnsi="Times New Roman" w:cs="Times New Roman"/>
        </w:rPr>
        <w:t xml:space="preserve">Odstupanje u odnosu na rebalans za 2025. godinu:
</w:t>
      </w:r>
    </w:p>
    <w:p>
      <w:pPr>
        <w:jc w:val="both"/>
        <w:pStyle w:val="Normal"/>
      </w:pPr>
      <w:r>
        <w:rPr>
          <w:rFonts w:hAnsi="Times New Roman" w:cs="Times New Roman"/>
        </w:rPr>
        <w:t xml:space="preserve">Vlada Republike Hrvatske donijela je Uredbu o postupku sklapanja ugovora o javnim uslugama (NN 43/21), Odluku o iznosima sufinanciranja, mjerilima i kriterijima za sufinanciranje javne usluge u cestovnom prijevozu putnika (NN 65/21) i Odluku o izmjenama Odluke o iznosima  sufinanciranja, mjerilima i kriterijima za sufinanciranje javne usluge u cestovnom prijevozu putnika (NN 8/25). 
</w:t>
      </w:r>
    </w:p>
    <w:p>
      <w:pPr>
        <w:jc w:val="both"/>
        <w:pStyle w:val="Normal"/>
      </w:pPr>
      <w:r>
        <w:rPr>
          <w:rFonts w:hAnsi="Times New Roman" w:cs="Times New Roman"/>
        </w:rPr>
        <w:t xml:space="preserve">Predmetnim Odlukama Vlada Republike Hrvatske sufinancira postojeću javnu uslugu u cestovnom prijevozu putnika ugovorenu između jedinica područne (regionalne) samouprave i prijevoznika u razdoblju od 2021. do 2027. godine u godišnjem iznosu utvrđenom u državnom proračunu Republike Hrvatske do najviše: 56.820.855,13 €.
</w:t>
      </w:r>
    </w:p>
    <w:p>
      <w:pPr>
        <w:jc w:val="both"/>
        <w:pStyle w:val="Normal"/>
      </w:pPr>
      <w:r>
        <w:rPr>
          <w:rFonts w:hAnsi="Times New Roman" w:cs="Times New Roman"/>
        </w:rPr>
        <w:t xml:space="preserve">Za obračunsko razdoblje 2026.-2028. godina planirani su veći iznosi obzirom da se očekuje da će županije koje do sada nisu sklopile ugovore s prijevoznicima to učiniti tijekom ovog obračunskog razdoblja.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Povećanje broja županija koje na svom administrativnom području imaju sklopljen ugovor o javnom linijskom prijevozu putnika u cestovnom prometu kao javnoj usluzi</w:t>
            </w:r>
          </w:p>
        </w:tc>
        <w:tc>
          <w:tcPr>
            <w:tcW w:w="2245.32" w:type="dxa"/>
            <w:vAlign w:val="center"/>
          </w:tcPr>
          <w:p>
            <w:pPr>
              <w:jc w:val="both"/>
              <w:pStyle w:val="CellColumn"/>
            </w:pPr>
            <w:r>
              <w:rPr>
                <w:rFonts w:hAnsi="Times New Roman" w:cs="Times New Roman"/>
              </w:rPr>
              <w:t xml:space="preserve">Županije izrađuju mrežu linija koja je podloga za sklapanje ugovora o prijevozu kao javnoj usluzi (PSO), te osiguravaju potrebna sredstva za sufinanciranje planirane mreže. Na taj način osigurava se pružanje usluga od općeg interesa krajnjim korisnicima, koje su redovitije, sigurnije, kvalitetnije ili pružene uz niži trošak od onih koje bi samo tržište moglo ponuditi.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Ministarst vo mora, prometa i infrastruk ture</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4"/>
      </w:pPr>
      <w:r>
        <w:rPr>
          <w:rFonts w:hAnsi="Times New Roman" w:cs="Times New Roman"/>
        </w:rPr>
        <w:t xml:space="preserve">A821084 ODRŽAVANJE SUSTAVA ZA SREDIŠNJU OBRADU TAHOGRAFSKIH PODATAKA - SOTAH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radnom vremenu, obveznim odmorima mobilnih radnika i uređajima za bilježenje u cestovnom prijevozu
</w:t>
      </w:r>
    </w:p>
    <w:p>
      <w:pPr>
        <w:jc w:val="both"/>
        <w:pStyle w:val="Normal5"/>
      </w:pPr>
      <w:r>
        <w:rPr>
          <w:rFonts w:hAnsi="Times New Roman" w:cs="Times New Roman"/>
        </w:rPr>
        <w:t xml:space="preserve">- Pravilnik o prijenosu podataka u središnju bazu tahografskih podataka te načinu vođenja evidencije o radnom vremenu mobilnih radnika
</w:t>
      </w:r>
    </w:p>
    <w:p>
      <w:pPr>
        <w:jc w:val="both"/>
        <w:pStyle w:val="Normal5"/>
      </w:pPr>
      <w:r>
        <w:rPr>
          <w:rFonts w:hAnsi="Times New Roman" w:cs="Times New Roman"/>
        </w:rPr>
        <w:t xml:space="preserve">- Pravilnik o radionicama za tahografe
</w:t>
      </w:r>
    </w:p>
    <w:p>
      <w:pPr>
        <w:jc w:val="both"/>
        <w:pStyle w:val="Normal5"/>
      </w:pPr>
      <w:r>
        <w:rPr>
          <w:rFonts w:hAnsi="Times New Roman" w:cs="Times New Roman"/>
        </w:rPr>
        <w:t xml:space="preserve">- Odluka MMPI o uvjetima pružanja usluga SOTAH i naknadi troškova za pružanje usluga SOTAH
</w:t>
      </w:r>
    </w:p>
    <w:p>
      <w:pPr>
        <w:jc w:val="both"/>
        <w:pStyle w:val="Normal5"/>
      </w:pPr>
      <w:r>
        <w:rPr>
          <w:rFonts w:hAnsi="Times New Roman" w:cs="Times New Roman"/>
        </w:rPr>
        <w:t xml:space="preserve">- Direktiva 2002/15 EZ Europskog parlamenta i Vijeća od 11. ožujka 2002. o organizaciji radnog vremena osoba koje obavljaju djelatnost mobilnog cestovnog prijevoza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A821084-ODRŽAVANJE SUSTAVA ZA SREDIŠNJU OBRADU TAHOGRAFSKIH PODATAKA - SOTAH</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407.100</w:t>
            </w:r>
          </w:p>
        </w:tc>
        <w:tc>
          <w:tcPr>
            <w:tcW w:w="1632.96" w:type="dxa"/>
            <w:vAlign w:val="center"/>
          </w:tcPr>
          <w:p>
            <w:pPr>
              <w:jc w:val="both"/>
              <w:pStyle w:val="CellColumn"/>
            </w:pPr>
            <w:r>
              <w:rPr>
                <w:rFonts w:hAnsi="Times New Roman" w:cs="Times New Roman"/>
              </w:rPr>
              <w:t xml:space="preserve">400.000</w:t>
            </w:r>
          </w:p>
        </w:tc>
        <w:tc>
          <w:tcPr>
            <w:tcW w:w="1632.96" w:type="dxa"/>
            <w:vAlign w:val="center"/>
          </w:tcPr>
          <w:p>
            <w:pPr>
              <w:jc w:val="both"/>
              <w:pStyle w:val="CellColumn"/>
            </w:pPr>
            <w:r>
              <w:rPr>
                <w:rFonts w:hAnsi="Times New Roman" w:cs="Times New Roman"/>
              </w:rPr>
              <w:t xml:space="preserve">400.000</w:t>
            </w:r>
          </w:p>
        </w:tc>
        <w:tc>
          <w:tcPr>
            <w:tcW w:w="1632.96" w:type="dxa"/>
            <w:vAlign w:val="center"/>
          </w:tcPr>
          <w:p>
            <w:pPr>
              <w:jc w:val="both"/>
              <w:pStyle w:val="CellColumn"/>
            </w:pPr>
            <w:r>
              <w:rPr>
                <w:rFonts w:hAnsi="Times New Roman" w:cs="Times New Roman"/>
              </w:rPr>
              <w:t xml:space="preserve">400.000</w:t>
            </w:r>
          </w:p>
        </w:tc>
        <w:tc>
          <w:tcPr>
            <w:tcW w:w="510.3" w:type="dxa"/>
            <w:vAlign w:val="center"/>
          </w:tcPr>
          <w:p>
            <w:pPr>
              <w:jc w:val="both"/>
              <w:pStyle w:val="CellColumn"/>
            </w:pPr>
            <w:r>
              <w:rPr>
                <w:rFonts w:hAnsi="Times New Roman" w:cs="Times New Roman"/>
              </w:rPr>
              <w:t xml:space="preserve">98,3</w:t>
            </w:r>
          </w:p>
        </w:tc>
      </w:tr>
    </w:tbl>
    <w:p>
      <w:pPr>
        <w:jc w:val="left"/>
      </w:pPr>
      <w:r>
        <w:rPr>
          <w:rFonts w:hAnsi="Times New Roman" w:cs="Times New Roman"/>
        </w:rPr>
        <w:t xml:space="preserve"/>
      </w:r>
    </w:p>
    <w:p>
      <w:pPr>
        <w:jc w:val="both"/>
        <w:pStyle w:val="Normal"/>
      </w:pPr>
      <w:r>
        <w:rPr>
          <w:rFonts w:hAnsi="Times New Roman" w:cs="Times New Roman"/>
        </w:rPr>
        <w:t xml:space="preserve">SOTAH je sustav za središnju obradu tahografskih podataka koji prikuplja, pohranjuje, obrađuje i čuva tahografske podatke. SOTAH je uspostavljen Pravilnikom o prijenosu podataka u središnju bazu tahografskih podataka te načinu vođenja evidencije o radnom vremenu mobilnih radnika (NN 109/18), a njegove su funkcionalnosti proširene Pravilnikom o radionicama za tahografe (NN 36/19).  
</w:t>
      </w:r>
    </w:p>
    <w:p>
      <w:pPr>
        <w:jc w:val="both"/>
        <w:pStyle w:val="Normal"/>
      </w:pPr>
      <w:r>
        <w:rPr>
          <w:rFonts w:hAnsi="Times New Roman" w:cs="Times New Roman"/>
        </w:rPr>
        <w:t xml:space="preserve">Ciljevi SOTAH-a su poboljšati uvjete rada i sigurnost cestovnog prometa te povećati učinkovitost i djelotvornost nadzora nad provedbom Zakona o radnom vremenu, obveznim odmorima mobilnih radnika i uređajima za bilježenje u cestovnom prijevozu (NN 75/13, 36/15, 46/17 i 152/22).  
</w:t>
      </w:r>
    </w:p>
    <w:p>
      <w:pPr>
        <w:jc w:val="both"/>
        <w:pStyle w:val="Normal"/>
      </w:pPr>
      <w:r>
        <w:rPr>
          <w:rFonts w:hAnsi="Times New Roman" w:cs="Times New Roman"/>
        </w:rPr>
        <w:t xml:space="preserve">Usluge SOTAH pruža Nositelj javne ovlasti za izdavanje kartica tahografa koji upravlja državnom informacijskom infrastrukturom SOTAH-a po odobrenju i pod nadzorom Ministarstva mora, prometa i infrastrukture. Pružatelj usluge je AKD d.o.o. Ured za izvršenje javnih ovlasti registraciju. 
</w:t>
      </w:r>
    </w:p>
    <w:p>
      <w:pPr>
        <w:jc w:val="both"/>
        <w:pStyle w:val="Normal"/>
      </w:pPr>
      <w:r>
        <w:rPr>
          <w:rFonts w:hAnsi="Times New Roman" w:cs="Times New Roman"/>
        </w:rPr>
        <w:t xml:space="preserve">Korisnici SOTAH-a su vozači, tehničari, osobe ovlaštene za zastupanje poduzeća i radionica, osoblje poduzeća i radionica kao i ostali registrirani korisnici kojima je omogućeno korištenje SOTAH-a u skladu s Uvjetima pružanja i korištenja usluga SOTAH. Ovi uvjeti se ne primjenjuju na službenike nadzornog tijela koji mogu pristupati i koristiti podatke u SOTAH-u radi obavljanja poslova iz njihova djelokruga.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Broj izdanih kompleta (obrazac + naljepnica) potvrda o ispitivanju tahografa</w:t>
            </w:r>
          </w:p>
        </w:tc>
        <w:tc>
          <w:tcPr>
            <w:tcW w:w="2245.32" w:type="dxa"/>
            <w:vAlign w:val="center"/>
          </w:tcPr>
          <w:p>
            <w:pPr>
              <w:jc w:val="both"/>
              <w:pStyle w:val="CellColumn"/>
            </w:pPr>
            <w:r>
              <w:rPr>
                <w:rFonts w:hAnsi="Times New Roman" w:cs="Times New Roman"/>
              </w:rPr>
              <w:t xml:space="preserve">Na temelju Odluke ministra AKD-u se isplaćuju novčana sredstva za izdane komplete potvrda o ispitivanju</w:t>
            </w:r>
          </w:p>
        </w:tc>
        <w:tc>
          <w:tcPr>
            <w:tcW w:w="918.54" w:type="dxa"/>
            <w:vAlign w:val="center"/>
          </w:tcPr>
          <w:p>
            <w:pPr>
              <w:jc w:val="both"/>
              <w:pStyle w:val="CellColumn"/>
            </w:pPr>
            <w:r>
              <w:rPr>
                <w:rFonts w:hAnsi="Times New Roman" w:cs="Times New Roman"/>
              </w:rPr>
              <w:t xml:space="preserve">broj kompleta</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AKD</w:t>
            </w:r>
          </w:p>
        </w:tc>
        <w:tc>
          <w:tcPr>
            <w:tcW w:w="918.54" w:type="dxa"/>
            <w:vAlign w:val="center"/>
          </w:tcPr>
          <w:p>
            <w:pPr>
              <w:jc w:val="both"/>
              <w:pStyle w:val="CellColumn"/>
            </w:pPr>
            <w:r>
              <w:rPr>
                <w:rFonts w:hAnsi="Times New Roman" w:cs="Times New Roman"/>
              </w:rPr>
              <w:t xml:space="preserve">107526</w:t>
            </w:r>
          </w:p>
        </w:tc>
        <w:tc>
          <w:tcPr>
            <w:tcW w:w="918.54" w:type="dxa"/>
            <w:vAlign w:val="center"/>
          </w:tcPr>
          <w:p>
            <w:pPr>
              <w:jc w:val="both"/>
              <w:pStyle w:val="CellColumn"/>
            </w:pPr>
            <w:r>
              <w:rPr>
                <w:rFonts w:hAnsi="Times New Roman" w:cs="Times New Roman"/>
              </w:rPr>
              <w:t xml:space="preserve">150000</w:t>
            </w:r>
          </w:p>
        </w:tc>
        <w:tc>
          <w:tcPr>
            <w:tcW w:w="918.54" w:type="dxa"/>
            <w:vAlign w:val="center"/>
          </w:tcPr>
          <w:p>
            <w:pPr>
              <w:jc w:val="both"/>
              <w:pStyle w:val="CellColumn"/>
            </w:pPr>
            <w:r>
              <w:rPr>
                <w:rFonts w:hAnsi="Times New Roman" w:cs="Times New Roman"/>
              </w:rPr>
              <w:t xml:space="preserve">200000</w:t>
            </w:r>
          </w:p>
        </w:tc>
      </w:tr>
    </w:tbl>
    <w:p>
      <w:pPr>
        <w:jc w:val="left"/>
      </w:pPr>
      <w:r>
        <w:rPr>
          <w:rFonts w:hAnsi="Times New Roman" w:cs="Times New Roman"/>
        </w:rPr>
        <w:t xml:space="preserve"/>
      </w:r>
    </w:p>
    <w:p>
      <w:pPr>
        <w:jc w:val="left"/>
        <w:pStyle w:val="Heading4"/>
      </w:pPr>
      <w:r>
        <w:rPr>
          <w:rFonts w:hAnsi="Times New Roman" w:cs="Times New Roman"/>
        </w:rPr>
        <w:t xml:space="preserve">T761085 FINANCIRANJE PROJEKTA GLOBALNOG SUSTAVA POKRETNIH KOMUNIKACIJA ZA ŽELJEZNIČKI PROMET (GSM-R) I MIGRACIJA NA FRMCS NA ŽELJEZNIČKIM PRUGAMA KOJIMA UPRAVLJA HŽ INFRASTRUKTURA D.O.O.</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Zakon o željeznici, članak 18.   
</w:t>
      </w:r>
    </w:p>
    <w:p>
      <w:pPr>
        <w:jc w:val="both"/>
        <w:pStyle w:val="Normal5"/>
      </w:pPr>
      <w:r>
        <w:rPr>
          <w:rFonts w:hAnsi="Times New Roman" w:cs="Times New Roman"/>
        </w:rPr>
        <w:t xml:space="preserve">- Zakon o sigurnosti i interoperabilnosti željezničkog sustav¸
</w:t>
      </w:r>
    </w:p>
    <w:p>
      <w:pPr>
        <w:jc w:val="both"/>
        <w:pStyle w:val="Normal5"/>
      </w:pPr>
      <w:r>
        <w:rPr>
          <w:rFonts w:hAnsi="Times New Roman" w:cs="Times New Roman"/>
        </w:rPr>
        <w:t xml:space="preserve">- Provedbena Uredba Komisije (EU) 2023/1695 оd 10. kolovoza 2023. o tehničkoj specifikaciji za interoperabilnost u vezi s prometno-upravljačkim i signalno-sigurnosnim podsustavima željezničkog sustava u Europskoj uniji i stavljanju izvan snage Uredbe (EU) 2016/919
</w:t>
      </w:r>
    </w:p>
    <w:p>
      <w:pPr>
        <w:jc w:val="both"/>
        <w:pStyle w:val="Normal5"/>
      </w:pPr>
      <w:r>
        <w:rPr>
          <w:rFonts w:hAnsi="Times New Roman" w:cs="Times New Roman"/>
        </w:rPr>
        <w:t xml:space="preserve">- Pravilnik o tehničkim uvjetima za prometno-upravljački i signalno-sigurnosni željeznički infrastrukturni podsustav (RH-405)
</w:t>
      </w:r>
    </w:p>
    <w:p>
      <w:pPr>
        <w:jc w:val="both"/>
        <w:pStyle w:val="Normal5"/>
      </w:pPr>
      <w:r>
        <w:rPr>
          <w:rFonts w:hAnsi="Times New Roman" w:cs="Times New Roman"/>
        </w:rPr>
        <w:t xml:space="preserve">- Strategija prometnog razvoja Republike Hrvatske za razdoblje od 2017. do 2030. godine  
</w:t>
      </w:r>
    </w:p>
    <w:p>
      <w:pPr>
        <w:jc w:val="both"/>
        <w:pStyle w:val="Normal5"/>
      </w:pPr>
      <w:r>
        <w:rPr>
          <w:rFonts w:hAnsi="Times New Roman" w:cs="Times New Roman"/>
        </w:rPr>
        <w:t xml:space="preserve">- Nacionalna razvojna strategija Republike Hrvatske do 2030. godine (NRS 2030.) 
</w:t>
      </w:r>
    </w:p>
    <w:p>
      <w:pPr>
        <w:jc w:val="both"/>
        <w:pStyle w:val="Normal5"/>
      </w:pPr>
      <w:r>
        <w:rPr>
          <w:rFonts w:hAnsi="Times New Roman" w:cs="Times New Roman"/>
        </w:rPr>
        <w:t xml:space="preserve">- Nacionalni program reformi (NPR 2020.) 
</w:t>
      </w:r>
    </w:p>
    <w:p>
      <w:pPr>
        <w:jc w:val="both"/>
        <w:pStyle w:val="Normal5"/>
      </w:pPr>
      <w:r>
        <w:rPr>
          <w:rFonts w:hAnsi="Times New Roman" w:cs="Times New Roman"/>
        </w:rPr>
        <w:t xml:space="preserve">- Zakon o sustavu strateškog planiranja i upravljanja razvojem Republike Hrvatske 
</w:t>
      </w:r>
    </w:p>
    <w:p>
      <w:pPr>
        <w:jc w:val="both"/>
        <w:pStyle w:val="Normal5"/>
      </w:pPr>
      <w:r>
        <w:rPr>
          <w:rFonts w:hAnsi="Times New Roman" w:cs="Times New Roman"/>
        </w:rPr>
        <w:t xml:space="preserve">- Strategija razvoja željezničkog sustava Republike Hrvatske do 2032. godine 
</w:t>
      </w:r>
    </w:p>
    <w:p>
      <w:pPr>
        <w:jc w:val="both"/>
        <w:pStyle w:val="Normal5"/>
      </w:pPr>
      <w:r>
        <w:rPr>
          <w:rFonts w:hAnsi="Times New Roman" w:cs="Times New Roman"/>
        </w:rPr>
        <w:t xml:space="preserve">- Nacionalni plan upravljanja željezničkom infrastrukturom i uslužnim objektima i razvoja   
</w:t>
      </w:r>
    </w:p>
    <w:p>
      <w:pPr>
        <w:jc w:val="both"/>
        <w:pStyle w:val="Normal5"/>
      </w:pPr>
      <w:r>
        <w:rPr>
          <w:rFonts w:hAnsi="Times New Roman" w:cs="Times New Roman"/>
        </w:rPr>
        <w:t xml:space="preserve">   usluga željezničkog prijevoza za razdoblje do 2030. godine 
</w:t>
      </w:r>
    </w:p>
    <w:p>
      <w:pPr>
        <w:jc w:val="both"/>
        <w:pStyle w:val="Normal5"/>
      </w:pPr>
      <w:r>
        <w:rPr>
          <w:rFonts w:hAnsi="Times New Roman" w:cs="Times New Roman"/>
        </w:rPr>
        <w:t xml:space="preserve">- Nacionalni plan razvoja željezničke infrastrukture za razdoblje do 2030.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T761085-FINANCIRANJE PROJEKTA GLOBALNOG SUSTAVA POKRETNIH KOMUNIKACIJA ZA ŽELJEZNIČKI PROMET (GSM-R) I MIGRACIJA NA FRMCS NA ŽELJEZNIČKIM PRUGAMA KOJIMA UPRAVLJA HŽ INFRASTRUKTURA D.O.O.</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950.000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Projekt uključuje radijsko i frekvencijsko planiranje, projektiranje izgradnju nove svjetlovodne i energetske mreže, baznih stanica s atenskim stupovima, IP MPLS mreže, primarnog i sekundarnog računskog centra, novog dispečerskog i nadzornog centra, sustava za informiranje putnika, satnih sustava, sustava informacijske sigurnosti, sustava tehničke zaštite i kontrole pristupa i dr. 
</w:t>
      </w:r>
    </w:p>
    <w:p>
      <w:pPr>
        <w:jc w:val="both"/>
        <w:pStyle w:val="Normal"/>
      </w:pPr>
      <w:r>
        <w:rPr>
          <w:rFonts w:hAnsi="Times New Roman" w:cs="Times New Roman"/>
        </w:rPr>
        <w:t xml:space="preserve">U planu je nastavak aktivnosti Projekta, a će realizacija će ovisiti o osiguranju potrebnih novčanih sredstava.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Uveden Globalni sustav pokretnih komunikacija za željeznički promet (GSM-R) i migracija na FRMCS na željezničkim prugama</w:t>
            </w:r>
          </w:p>
        </w:tc>
        <w:tc>
          <w:tcPr>
            <w:tcW w:w="2245.32" w:type="dxa"/>
            <w:vAlign w:val="center"/>
          </w:tcPr>
          <w:p>
            <w:pPr>
              <w:jc w:val="both"/>
              <w:pStyle w:val="CellColumn"/>
            </w:pPr>
            <w:r>
              <w:rPr>
                <w:rFonts w:hAnsi="Times New Roman" w:cs="Times New Roman"/>
              </w:rPr>
              <w:t xml:space="preserve">Duljina pruga opremljenih FRMCS-om</w:t>
            </w:r>
          </w:p>
        </w:tc>
        <w:tc>
          <w:tcPr>
            <w:tcW w:w="918.54" w:type="dxa"/>
            <w:vAlign w:val="center"/>
          </w:tcPr>
          <w:p>
            <w:pPr>
              <w:jc w:val="both"/>
              <w:pStyle w:val="CellColumn"/>
            </w:pPr>
            <w:r>
              <w:rPr>
                <w:rFonts w:hAnsi="Times New Roman" w:cs="Times New Roman"/>
              </w:rPr>
              <w:t xml:space="preserve">km</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HŽI</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T761087 POTPORE MALE VRIJEDNOSTI U ŽELJEZNIČKOM TERETNOM PROMETU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Uredba Komisije (EU) 2023/2831 оd 13. prosinca 2023. o primjeni članaka 107. i 108. Ugovora o funkcioniranju Europske unije na de minimis potpore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T761087-POTPORE MALE VRIJEDNOSTI U ŽELJEZNIČKOM TERETNOM PROMETU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600.000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Zbog sve većih i učestalijih zatvora pruga koji su posljedica velikih infrastrukturnih radova na značajnom djelu željezničke mreže Republike Hrvatske dolazi do većih i učestalijih kašnjenja vlakova. Navedeni zatvori pruga uzrokuju dodatne troškove željezničkim prijevoznicima te isti postaju manje konkurentniji u odnosu na cestovne prijevoznike.
</w:t>
      </w:r>
    </w:p>
    <w:p>
      <w:pPr>
        <w:jc w:val="both"/>
        <w:pStyle w:val="Normal"/>
      </w:pPr>
      <w:r>
        <w:rPr>
          <w:rFonts w:hAnsi="Times New Roman" w:cs="Times New Roman"/>
        </w:rPr>
        <w:t xml:space="preserve">Kako bi se ublažili negativni gospodarski i socijalni učinci na sektor željezničkog prijevoza tereta predviđena je mjera potpore male vrijednosti (de minimis potpora). Mjera potpore male vrijednosti u sektoru željezničkog prijevoza tereta provodi se u skladu s Uredbom Komisije (EU) 2023/2831 оd 13. prosinca 2023. o primjeni članaka 107. i 108. Ugovora o funkcioniranju Europske unije na de minimis potpore (Službeni list Europske unije, L 2023/2831, 15.12.2023.).
</w:t>
      </w:r>
    </w:p>
    <w:p>
      <w:pPr>
        <w:jc w:val="both"/>
        <w:pStyle w:val="Normal"/>
      </w:pPr>
      <w:r>
        <w:rPr>
          <w:rFonts w:hAnsi="Times New Roman" w:cs="Times New Roman"/>
        </w:rPr>
        <w:t xml:space="preserve">Potpora male vrijednosti podrazumijeva dodjelu bespovratnih sredstava željezničkim teretnim prijevoznicima u 2026. godini, a ovisno o njihovom udjelu u ukupno plaćenoj naknadi za minimalni pristupni paket u 2025. godini.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Udio potpisanih Ugovora o dodjeli potpore male vrijednosti u ukupnom broju urednih i potpunih zahtjeva za dodjelu potpore.</w:t>
            </w:r>
          </w:p>
        </w:tc>
        <w:tc>
          <w:tcPr>
            <w:tcW w:w="2245.32" w:type="dxa"/>
            <w:vAlign w:val="center"/>
          </w:tcPr>
          <w:p>
            <w:pPr>
              <w:jc w:val="both"/>
              <w:pStyle w:val="CellColumn"/>
            </w:pPr>
            <w:r>
              <w:rPr>
                <w:rFonts w:hAnsi="Times New Roman" w:cs="Times New Roman"/>
              </w:rPr>
              <w:t xml:space="preserve">Sklapanjem ugovora željeznički prijevoznici će ostvariti potporu kojom će se ublažiti negativni gospodarski i socijalni učinci na sektor željezničkog prijevoza tereta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MMPI</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T819087 PROGRAM POTICAJA ŽELJEZNIČKIM PRIJEVOZNICIMA ZA PRIJEVOZ TERETA NA ŽELJEZNIČKOJ MREŽI U REPUBLICI HRVATSKOJ</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Bijela knjiga o jedinstvenom europskom prometnom području 2011. 
</w:t>
      </w:r>
    </w:p>
    <w:p>
      <w:pPr>
        <w:jc w:val="both"/>
        <w:pStyle w:val="Normal5"/>
      </w:pPr>
      <w:r>
        <w:rPr>
          <w:rFonts w:hAnsi="Times New Roman" w:cs="Times New Roman"/>
        </w:rPr>
        <w:t xml:space="preserve">- Strategija prometnog razvoja Republike Hrvatske za razdoblje od 2017. do 2030. godine, članak 
</w:t>
      </w:r>
    </w:p>
    <w:p>
      <w:pPr>
        <w:jc w:val="both"/>
        <w:pStyle w:val="Normal5"/>
      </w:pPr>
      <w:r>
        <w:rPr>
          <w:rFonts w:hAnsi="Times New Roman" w:cs="Times New Roman"/>
        </w:rPr>
        <w:t xml:space="preserve">- Strategija razvoja željezničkog sustava Republike Hrvatske do 2032. godine, ključno područje intervencije 1.12. Poticanje većega korištenja prijevoza željeznicom
</w:t>
      </w:r>
    </w:p>
    <w:p>
      <w:pPr>
        <w:jc w:val="both"/>
        <w:pStyle w:val="Normal5"/>
      </w:pPr>
      <w:r>
        <w:rPr>
          <w:rFonts w:hAnsi="Times New Roman" w:cs="Times New Roman"/>
        </w:rPr>
        <w:t xml:space="preserve">- Nacionalni plan upravljanja željezničkom infrastrukturom i uslužnim objektima i razvoja usluga željezničkog prijevoza za razdoblje do 2030. godine, mjera 2.7. Poticanje usluge teretnog željezničkog prijevoza
</w:t>
      </w:r>
    </w:p>
    <w:p>
      <w:pPr>
        <w:jc w:val="both"/>
        <w:pStyle w:val="Normal5"/>
      </w:pPr>
      <w:r>
        <w:rPr>
          <w:rFonts w:hAnsi="Times New Roman" w:cs="Times New Roman"/>
        </w:rPr>
        <w:t xml:space="preserve">- Zakon o državnim potporama
</w:t>
      </w:r>
    </w:p>
    <w:p>
      <w:pPr>
        <w:jc w:val="both"/>
        <w:pStyle w:val="Normal5"/>
      </w:pPr>
      <w:r>
        <w:rPr>
          <w:rFonts w:hAnsi="Times New Roman" w:cs="Times New Roman"/>
        </w:rPr>
        <w:t xml:space="preserve">- Smjernice Zajednice o državnim potporama za željeznička poduzeća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T819087-PROGRAM POTICAJA ŽELJEZNIČKIM PRIJEVOZNICIMA ZA PRIJEVOZ TERETA NA ŽELJEZNIČKOJ MREŽI U REPUBLICI HRVATSKOJ</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2.000.000</w:t>
            </w:r>
          </w:p>
        </w:tc>
        <w:tc>
          <w:tcPr>
            <w:tcW w:w="1632.96" w:type="dxa"/>
            <w:vAlign w:val="center"/>
          </w:tcPr>
          <w:p>
            <w:pPr>
              <w:jc w:val="both"/>
              <w:pStyle w:val="CellColumn"/>
            </w:pPr>
            <w:r>
              <w:rPr>
                <w:rFonts w:hAnsi="Times New Roman" w:cs="Times New Roman"/>
              </w:rPr>
              <w:t xml:space="preserve">3.500.000</w:t>
            </w:r>
          </w:p>
        </w:tc>
        <w:tc>
          <w:tcPr>
            <w:tcW w:w="1632.96" w:type="dxa"/>
            <w:vAlign w:val="center"/>
          </w:tcPr>
          <w:p>
            <w:pPr>
              <w:jc w:val="both"/>
              <w:pStyle w:val="CellColumn"/>
            </w:pPr>
            <w:r>
              <w:rPr>
                <w:rFonts w:hAnsi="Times New Roman" w:cs="Times New Roman"/>
              </w:rPr>
              <w:t xml:space="preserve">3.500.000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Cilj Programa poticaja je promicanje prijevoza tereta na željezničkoj mreži u Republici Hrvatskoj za razdoblje od 2026. do 2028. godine ispravljanjem neravnoteža između prometnih koridora kroz Republiku Hrvatsku nadoknadom dijela prihvatljivih (vanjskih) troškova i troškova pristupa trasi infrastrukture. Također ovaj Program promiče i razvoj luka s ciljem povećanja udjela prekrcaja tereta, a time pomaže i razvoju gospodarstva i povećanju zaposlenosti. Navedenom mjerom se ujedno ostvaruje doprinos ciljevima Europskog zelenog plana kroz smanjenje emisija stakleničkih plinova i smanjenje onečišćenja okoliša.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Povećanje količine prevezenih tonskih kilometara željeznicom</w:t>
            </w:r>
          </w:p>
        </w:tc>
        <w:tc>
          <w:tcPr>
            <w:tcW w:w="2245.32" w:type="dxa"/>
            <w:vAlign w:val="center"/>
          </w:tcPr>
          <w:p>
            <w:pPr>
              <w:jc w:val="both"/>
              <w:pStyle w:val="CellColumn"/>
            </w:pPr>
            <w:r>
              <w:rPr>
                <w:rFonts w:hAnsi="Times New Roman" w:cs="Times New Roman"/>
              </w:rPr>
              <w:t xml:space="preserve">Davanjem potpora željezničkim teretnim prijevoznicima osigurat će se povećanje količine tereta željeznicom u RH</w:t>
            </w:r>
          </w:p>
        </w:tc>
        <w:tc>
          <w:tcPr>
            <w:tcW w:w="918.54" w:type="dxa"/>
            <w:vAlign w:val="center"/>
          </w:tcPr>
          <w:p>
            <w:pPr>
              <w:jc w:val="both"/>
              <w:pStyle w:val="CellColumn"/>
            </w:pPr>
            <w:r>
              <w:rPr>
                <w:rFonts w:hAnsi="Times New Roman" w:cs="Times New Roman"/>
              </w:rPr>
              <w:t xml:space="preserve">Tonski km u mil.</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DZS</w:t>
            </w:r>
          </w:p>
        </w:tc>
        <w:tc>
          <w:tcPr>
            <w:tcW w:w="918.54" w:type="dxa"/>
            <w:vAlign w:val="center"/>
          </w:tcPr>
          <w:p>
            <w:pPr>
              <w:jc w:val="both"/>
              <w:pStyle w:val="CellColumn"/>
            </w:pPr>
            <w:r>
              <w:rPr>
                <w:rFonts w:hAnsi="Times New Roman" w:cs="Times New Roman"/>
              </w:rPr>
              <w:t xml:space="preserve">3.000</w:t>
            </w:r>
          </w:p>
        </w:tc>
        <w:tc>
          <w:tcPr>
            <w:tcW w:w="918.54" w:type="dxa"/>
            <w:vAlign w:val="center"/>
          </w:tcPr>
          <w:p>
            <w:pPr>
              <w:jc w:val="both"/>
              <w:pStyle w:val="CellColumn"/>
            </w:pPr>
            <w:r>
              <w:rPr>
                <w:rFonts w:hAnsi="Times New Roman" w:cs="Times New Roman"/>
              </w:rPr>
              <w:t xml:space="preserve">3.050</w:t>
            </w:r>
          </w:p>
        </w:tc>
        <w:tc>
          <w:tcPr>
            <w:tcW w:w="918.54" w:type="dxa"/>
            <w:vAlign w:val="center"/>
          </w:tcPr>
          <w:p>
            <w:pPr>
              <w:jc w:val="both"/>
              <w:pStyle w:val="CellColumn"/>
            </w:pPr>
            <w:r>
              <w:rPr>
                <w:rFonts w:hAnsi="Times New Roman" w:cs="Times New Roman"/>
              </w:rPr>
              <w:t xml:space="preserve">3.100</w:t>
            </w:r>
          </w:p>
        </w:tc>
      </w:tr>
    </w:tbl>
    <w:p>
      <w:pPr>
        <w:jc w:val="left"/>
      </w:pPr>
      <w:r>
        <w:rPr>
          <w:rFonts w:hAnsi="Times New Roman" w:cs="Times New Roman"/>
        </w:rPr>
        <w:t xml:space="preserve"/>
      </w:r>
    </w:p>
    <w:p>
      <w:pPr>
        <w:jc w:val="left"/>
        <w:pStyle w:val="Heading4"/>
      </w:pPr>
      <w:r>
        <w:rPr>
          <w:rFonts w:hAnsi="Times New Roman" w:cs="Times New Roman"/>
        </w:rPr>
        <w:t xml:space="preserve">T820081 NADOKNADA DIJELA TROŠKA DIZELSKOG GORIVA KOJE SE KORISTI KAO POGONSKO GORIVO U KOMERCIJALNOM PRIJEVOZU PUTNIKA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  Pravilnik o ostvarivanju prava na povrat dijela plaćene trošarine za dizelsko gorivo u komercijalnom prijevozu robe i putnika („Narodne novine“, br. 12/2019)
</w:t>
      </w:r>
    </w:p>
    <w:p>
      <w:pPr>
        <w:jc w:val="both"/>
        <w:pStyle w:val="Normal5"/>
      </w:pPr>
      <w:r>
        <w:rPr>
          <w:rFonts w:hAnsi="Times New Roman" w:cs="Times New Roman"/>
        </w:rPr>
        <w:t xml:space="preserve">-  Uredba o nadoknadi dijela troška dizelskog goriva koje se koristi kao pogonsko gorivo u komercijalnom cestovnom prijevozu putnika („Narodne novine“, br. 104/2022)</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T820081-NADOKNADA DIJELA TROŠKA DIZELSKOG GORIVA KOJE SE KORISTI KAO POGONSKO GORIVO U KOMERCIJALNOM PRIJEVOZU PUTNIKA</w:t>
            </w:r>
          </w:p>
        </w:tc>
        <w:tc>
          <w:tcPr>
            <w:tcW w:w="1632.96" w:type="dxa"/>
            <w:vAlign w:val="center"/>
          </w:tcPr>
          <w:p>
            <w:pPr>
              <w:jc w:val="both"/>
              <w:pStyle w:val="CellColumn"/>
            </w:pPr>
            <w:r>
              <w:rPr>
                <w:rFonts w:hAnsi="Times New Roman" w:cs="Times New Roman"/>
              </w:rPr>
              <w:t xml:space="preserve">8.812.212</w:t>
            </w:r>
          </w:p>
        </w:tc>
        <w:tc>
          <w:tcPr>
            <w:tcW w:w="1632.96" w:type="dxa"/>
            <w:vAlign w:val="center"/>
          </w:tcPr>
          <w:p>
            <w:pPr>
              <w:jc w:val="both"/>
              <w:pStyle w:val="CellColumn"/>
            </w:pPr>
            <w:r>
              <w:rPr>
                <w:rFonts w:hAnsi="Times New Roman" w:cs="Times New Roman"/>
              </w:rPr>
              <w:t xml:space="preserve">10.000.000</w:t>
            </w:r>
          </w:p>
        </w:tc>
        <w:tc>
          <w:tcPr>
            <w:tcW w:w="1632.96" w:type="dxa"/>
            <w:vAlign w:val="center"/>
          </w:tcPr>
          <w:p>
            <w:pPr>
              <w:jc w:val="both"/>
              <w:pStyle w:val="CellColumn"/>
            </w:pPr>
            <w:r>
              <w:rPr>
                <w:rFonts w:hAnsi="Times New Roman" w:cs="Times New Roman"/>
              </w:rPr>
              <w:t xml:space="preserve">4.000.000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40,0</w:t>
            </w:r>
          </w:p>
        </w:tc>
      </w:tr>
    </w:tbl>
    <w:p>
      <w:pPr>
        <w:jc w:val="left"/>
      </w:pPr>
      <w:r>
        <w:rPr>
          <w:rFonts w:hAnsi="Times New Roman" w:cs="Times New Roman"/>
        </w:rPr>
        <w:t xml:space="preserve"/>
      </w:r>
    </w:p>
    <w:p>
      <w:pPr>
        <w:jc w:val="both"/>
        <w:pStyle w:val="Normal"/>
      </w:pPr>
      <w:r>
        <w:rPr>
          <w:rFonts w:hAnsi="Times New Roman" w:cs="Times New Roman"/>
        </w:rPr>
        <w:t xml:space="preserve">Pravo na nadoknadu dijela troška dizelskog goriva koje se koristi kao pogonsko gorivo u komercijalnom cestovnom prijevozu putnika imaju osobe koje obavljaju komercijalni cestovni prijevoz putnika koje su na temelju odredbi Pravilnika o ostvarivanju prava na povrat dijela plaćene trošarine za dizelsko gorivo u komercijalnom prijevozu robe i putnika (»Narodne novine«, broj 12/19.) rješenjem Ministarstva financija – Carinske uprave ostvarile pravo na povrat dijela trošarine za razdoblje od 2022. – 2026. godine.  
</w:t>
      </w:r>
    </w:p>
    <w:p>
      <w:pPr>
        <w:jc w:val="both"/>
        <w:pStyle w:val="Normal"/>
      </w:pPr>
      <w:r>
        <w:rPr>
          <w:rFonts w:hAnsi="Times New Roman" w:cs="Times New Roman"/>
        </w:rPr>
        <w:t xml:space="preserve">Uredbama o nadoknadi dijela troška dizelskog goriva koje se koristi kao pogonsko gorivo u komercijalnom cestovnom prijevozu putnika („Narodne novine“, br. 31/2023, 32/2024, 56/2025) propisano je da nadoknada po litri dizelskog goriva koje se koristi kao pogonsko gorivo u komercijalnom prijevozu putnika iznosi 0,16 eura. Ako se rješenjem Ministarstva financija – Carinske uprave odobrava povrat plaćene trošarine za godišnje razdoblje za 2025. ili 2026.godinu, obračun i isplata nadoknade dijela troška dizelskog goriva temeljem ove Uredbe odobrit će se za 75% od ukupne količine dizelskog goriva za koje je tim rješenjem utvrđeno pravo povrata trošarine. O podnesenom zahtjevu Ministarstvo mora, prometa i infrastrukture odlučuje rješenjem. 
</w:t>
      </w:r>
    </w:p>
    <w:p>
      <w:pPr>
        <w:jc w:val="both"/>
        <w:pStyle w:val="Normal"/>
      </w:pPr>
      <w:r>
        <w:rPr>
          <w:rFonts w:hAnsi="Times New Roman" w:cs="Times New Roman"/>
        </w:rPr>
        <w:t xml:space="preserve">S ciljem podrške i pomoći prijevoznicima u očuvanju stabilnosti komercijalnog cestovnog prijevoza putnika, donesena je predmetna mjera te su osigurana sredstva iz Državnog proračuna Republike Hrvatske za 2026. godinu u iznosu od 4.000.000 eura.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Količina subvencioniranog dizelskog goriva koje se koristi kao pogonsko gorivo u komercijalnom cestovnom prijevozu putnika</w:t>
            </w:r>
          </w:p>
        </w:tc>
        <w:tc>
          <w:tcPr>
            <w:tcW w:w="2245.32" w:type="dxa"/>
            <w:vAlign w:val="center"/>
          </w:tcPr>
          <w:p>
            <w:pPr>
              <w:jc w:val="both"/>
              <w:pStyle w:val="CellColumn"/>
            </w:pPr>
            <w:r>
              <w:rPr>
                <w:rFonts w:hAnsi="Times New Roman" w:cs="Times New Roman"/>
              </w:rPr>
              <w:t xml:space="preserve">Nadoknada osobama koje obavljaju komercijalni cestovni prijevoz putnika</w:t>
            </w:r>
          </w:p>
        </w:tc>
        <w:tc>
          <w:tcPr>
            <w:tcW w:w="918.54" w:type="dxa"/>
            <w:vAlign w:val="center"/>
          </w:tcPr>
          <w:p>
            <w:pPr>
              <w:jc w:val="both"/>
              <w:pStyle w:val="CellColumn"/>
            </w:pPr>
            <w:r>
              <w:rPr>
                <w:rFonts w:hAnsi="Times New Roman" w:cs="Times New Roman"/>
              </w:rPr>
              <w:t xml:space="preserve">broj
</w:t>
            </w:r>
          </w:p>
          <w:p>
            <w:pPr>
              <w:jc w:val="both"/>
              <w:pStyle w:val="CellColumn"/>
            </w:pPr>
            <w:r>
              <w:rPr>
                <w:rFonts w:hAnsi="Times New Roman" w:cs="Times New Roman"/>
              </w:rPr>
              <w:t xml:space="preserve">litara</w:t>
            </w:r>
          </w:p>
        </w:tc>
        <w:tc>
          <w:tcPr>
            <w:tcW w:w="918.54" w:type="dxa"/>
            <w:vAlign w:val="center"/>
          </w:tcPr>
          <w:p>
            <w:pPr>
              <w:jc w:val="both"/>
              <w:pStyle w:val="CellColumn"/>
            </w:pPr>
            <w:r>
              <w:rPr>
                <w:rFonts w:hAnsi="Times New Roman" w:cs="Times New Roman"/>
              </w:rPr>
              <w:t xml:space="preserve">31.250.000</w:t>
            </w:r>
          </w:p>
        </w:tc>
        <w:tc>
          <w:tcPr>
            <w:tcW w:w="918.54" w:type="dxa"/>
            <w:vAlign w:val="center"/>
          </w:tcPr>
          <w:p>
            <w:pPr>
              <w:jc w:val="both"/>
              <w:pStyle w:val="CellColumn"/>
            </w:pPr>
            <w:r>
              <w:rPr>
                <w:rFonts w:hAnsi="Times New Roman" w:cs="Times New Roman"/>
              </w:rPr>
              <w:t xml:space="preserve">Ministarst vo mora, prometa i infrastruk ture</w:t>
            </w:r>
          </w:p>
        </w:tc>
        <w:tc>
          <w:tcPr>
            <w:tcW w:w="918.54" w:type="dxa"/>
            <w:vAlign w:val="center"/>
          </w:tcPr>
          <w:p>
            <w:pPr>
              <w:jc w:val="both"/>
              <w:pStyle w:val="CellColumn"/>
            </w:pPr>
            <w:r>
              <w:rPr>
                <w:rFonts w:hAnsi="Times New Roman" w:cs="Times New Roman"/>
              </w:rPr>
              <w:t xml:space="preserve">32.000.000</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w:t>
            </w:r>
          </w:p>
        </w:tc>
      </w:tr>
    </w:tbl>
    <w:p>
      <w:pPr>
        <w:jc w:val="left"/>
      </w:pPr>
      <w:r>
        <w:rPr>
          <w:rFonts w:hAnsi="Times New Roman" w:cs="Times New Roman"/>
        </w:rPr>
        <w:t xml:space="preserve"/>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